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b w:val="1"/>
          <w:bCs w:val="1"/>
          <w:sz w:val="44"/>
          <w:szCs w:val="44"/>
          <w:rtl w:val="0"/>
        </w:rPr>
        <w:t xml:space="preserve">OPERATING PROCEDURES</w:t>
        <w:br w:type="textWrapping"/>
        <w:t xml:space="preserve">AND GUIDELINES</w:t>
      </w:r>
      <w:r w:rsidDel="00000000" w:rsidR="00000000" w:rsidRPr="00000000">
        <w:rPr>
          <w:rtl w:val="0"/>
        </w:rPr>
      </w:r>
    </w:p>
    <w:p w:rsidR="00000000" w:rsidDel="00000000" w:rsidP="00000000" w:rsidRDefault="00000000" w:rsidRPr="00000000" w14:paraId="00000002">
      <w:pPr>
        <w:jc w:val="center"/>
        <w:rPr/>
      </w:pPr>
      <w:r w:rsidDel="00000000" w:rsidR="00000000" w:rsidRPr="00000000">
        <w:rPr>
          <w:b w:val="1"/>
          <w:bCs w:val="1"/>
          <w:sz w:val="28"/>
          <w:szCs w:val="28"/>
          <w:rtl w:val="0"/>
        </w:rPr>
        <w:t xml:space="preserve">Greater Toronto Area Intergroup</w:t>
        <w:br w:type="textWrapping"/>
        <w:t xml:space="preserve">Communications Subcommittee</w:t>
      </w: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tbl>
      <w:tblPr>
        <w:tblStyle w:val="Table1"/>
        <w:tblW w:w="993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68"/>
        <w:gridCol w:w="4968"/>
        <w:tblGridChange w:id="0">
          <w:tblGrid>
            <w:gridCol w:w="4968"/>
            <w:gridCol w:w="4968"/>
          </w:tblGrid>
        </w:tblGridChange>
      </w:tblGrid>
      <w:tr>
        <w:trPr>
          <w:cantSplit w:val="0"/>
          <w:tblHeader w:val="0"/>
        </w:trPr>
        <w:tc>
          <w:tcPr>
            <w:vAlign w:val="center"/>
          </w:tcPr>
          <w:p w:rsidR="00000000" w:rsidDel="00000000" w:rsidP="00000000" w:rsidRDefault="00000000" w:rsidRPr="00000000" w14:paraId="00000004">
            <w:pPr>
              <w:widowControl w:val="1"/>
              <w:spacing w:after="100" w:before="0" w:line="240" w:lineRule="auto"/>
              <w:rPr/>
            </w:pPr>
            <w:r w:rsidDel="00000000" w:rsidR="00000000" w:rsidRPr="00000000">
              <w:rPr>
                <w:b w:val="1"/>
                <w:bCs w:val="1"/>
                <w:rtl w:val="0"/>
              </w:rPr>
              <w:t xml:space="preserve">Document status</w:t>
            </w:r>
            <w:r w:rsidDel="00000000" w:rsidR="00000000" w:rsidRPr="00000000">
              <w:rPr>
                <w:rtl w:val="0"/>
              </w:rPr>
            </w:r>
          </w:p>
        </w:tc>
        <w:tc>
          <w:tcPr>
            <w:vAlign w:val="center"/>
          </w:tcPr>
          <w:p w:rsidR="00000000" w:rsidDel="00000000" w:rsidP="00000000" w:rsidRDefault="00000000" w:rsidRPr="00000000" w14:paraId="00000005">
            <w:pPr>
              <w:widowControl w:val="1"/>
              <w:spacing w:after="100" w:before="0" w:line="240" w:lineRule="auto"/>
              <w:rPr/>
            </w:pPr>
            <w:r w:rsidDel="00000000" w:rsidR="00000000" w:rsidRPr="00000000">
              <w:rPr>
                <w:rtl w:val="0"/>
              </w:rPr>
              <w:t xml:space="preserve">FINAL DRAFT APPROVED</w:t>
            </w:r>
          </w:p>
        </w:tc>
      </w:tr>
      <w:tr>
        <w:trPr>
          <w:cantSplit w:val="0"/>
          <w:tblHeader w:val="0"/>
        </w:trPr>
        <w:tc>
          <w:tcPr>
            <w:vAlign w:val="center"/>
          </w:tcPr>
          <w:p w:rsidR="00000000" w:rsidDel="00000000" w:rsidP="00000000" w:rsidRDefault="00000000" w:rsidRPr="00000000" w14:paraId="00000006">
            <w:pPr>
              <w:widowControl w:val="1"/>
              <w:spacing w:after="100" w:before="0" w:line="240" w:lineRule="auto"/>
              <w:rPr/>
            </w:pPr>
            <w:r w:rsidDel="00000000" w:rsidR="00000000" w:rsidRPr="00000000">
              <w:rPr>
                <w:b w:val="1"/>
                <w:bCs w:val="1"/>
                <w:rtl w:val="0"/>
              </w:rPr>
              <w:t xml:space="preserve">Effective date</w:t>
            </w:r>
            <w:r w:rsidDel="00000000" w:rsidR="00000000" w:rsidRPr="00000000">
              <w:rPr>
                <w:rtl w:val="0"/>
              </w:rPr>
            </w:r>
          </w:p>
        </w:tc>
        <w:tc>
          <w:tcPr>
            <w:vAlign w:val="center"/>
          </w:tcPr>
          <w:p w:rsidR="00000000" w:rsidDel="00000000" w:rsidP="00000000" w:rsidRDefault="00000000" w:rsidRPr="00000000" w14:paraId="00000007">
            <w:pPr>
              <w:widowControl w:val="1"/>
              <w:spacing w:after="100" w:before="0" w:line="240" w:lineRule="auto"/>
              <w:rPr/>
            </w:pPr>
            <w:r w:rsidDel="00000000" w:rsidR="00000000" w:rsidRPr="00000000">
              <w:rPr>
                <w:rtl w:val="0"/>
              </w:rPr>
              <w:t xml:space="preserve">September 1st, 2026</w:t>
            </w:r>
          </w:p>
        </w:tc>
      </w:tr>
      <w:tr>
        <w:trPr>
          <w:cantSplit w:val="0"/>
          <w:tblHeader w:val="0"/>
        </w:trPr>
        <w:tc>
          <w:tcPr>
            <w:vAlign w:val="center"/>
          </w:tcPr>
          <w:p w:rsidR="00000000" w:rsidDel="00000000" w:rsidP="00000000" w:rsidRDefault="00000000" w:rsidRPr="00000000" w14:paraId="00000008">
            <w:pPr>
              <w:widowControl w:val="1"/>
              <w:spacing w:after="100" w:before="0" w:line="240" w:lineRule="auto"/>
              <w:rPr/>
            </w:pPr>
            <w:r w:rsidDel="00000000" w:rsidR="00000000" w:rsidRPr="00000000">
              <w:rPr>
                <w:b w:val="1"/>
                <w:bCs w:val="1"/>
                <w:rtl w:val="0"/>
              </w:rPr>
              <w:t xml:space="preserve">Approved by</w:t>
            </w:r>
            <w:r w:rsidDel="00000000" w:rsidR="00000000" w:rsidRPr="00000000">
              <w:rPr>
                <w:rtl w:val="0"/>
              </w:rPr>
            </w:r>
          </w:p>
        </w:tc>
        <w:tc>
          <w:tcPr>
            <w:vAlign w:val="center"/>
          </w:tcPr>
          <w:p w:rsidR="00000000" w:rsidDel="00000000" w:rsidP="00000000" w:rsidRDefault="00000000" w:rsidRPr="00000000" w14:paraId="00000009">
            <w:pPr>
              <w:widowControl w:val="1"/>
              <w:spacing w:after="100" w:before="0" w:line="240" w:lineRule="auto"/>
              <w:rPr/>
            </w:pPr>
            <w:r w:rsidDel="00000000" w:rsidR="00000000" w:rsidRPr="00000000">
              <w:rPr>
                <w:rtl w:val="0"/>
              </w:rPr>
              <w:t xml:space="preserve">Operating committee and Chair of Communications Committee</w:t>
            </w:r>
          </w:p>
        </w:tc>
      </w:tr>
      <w:tr>
        <w:trPr>
          <w:cantSplit w:val="0"/>
          <w:tblHeader w:val="0"/>
        </w:trPr>
        <w:tc>
          <w:tcPr>
            <w:vAlign w:val="center"/>
          </w:tcPr>
          <w:p w:rsidR="00000000" w:rsidDel="00000000" w:rsidP="00000000" w:rsidRDefault="00000000" w:rsidRPr="00000000" w14:paraId="0000000A">
            <w:pPr>
              <w:widowControl w:val="1"/>
              <w:spacing w:after="100" w:before="0" w:line="240" w:lineRule="auto"/>
              <w:rPr/>
            </w:pPr>
            <w:r w:rsidDel="00000000" w:rsidR="00000000" w:rsidRPr="00000000">
              <w:rPr>
                <w:b w:val="1"/>
                <w:bCs w:val="1"/>
                <w:rtl w:val="0"/>
              </w:rPr>
              <w:t xml:space="preserve">Review cycle</w:t>
            </w:r>
            <w:r w:rsidDel="00000000" w:rsidR="00000000" w:rsidRPr="00000000">
              <w:rPr>
                <w:rtl w:val="0"/>
              </w:rPr>
            </w:r>
          </w:p>
        </w:tc>
        <w:tc>
          <w:tcPr>
            <w:vAlign w:val="center"/>
          </w:tcPr>
          <w:p w:rsidR="00000000" w:rsidDel="00000000" w:rsidP="00000000" w:rsidRDefault="00000000" w:rsidRPr="00000000" w14:paraId="0000000B">
            <w:pPr>
              <w:widowControl w:val="1"/>
              <w:spacing w:after="100" w:before="0" w:line="240" w:lineRule="auto"/>
              <w:rPr/>
            </w:pPr>
            <w:r w:rsidDel="00000000" w:rsidR="00000000" w:rsidRPr="00000000">
              <w:rPr>
                <w:rtl w:val="0"/>
              </w:rPr>
              <w:t xml:space="preserve">As required or every 2 years</w:t>
            </w:r>
          </w:p>
        </w:tc>
      </w:tr>
    </w:tbl>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pStyle w:val="Heading1"/>
        <w:rPr/>
      </w:pPr>
      <w:r w:rsidDel="00000000" w:rsidR="00000000" w:rsidRPr="00000000">
        <w:rPr>
          <w:rtl w:val="0"/>
        </w:rPr>
        <w:t xml:space="preserve">1. Purpose of This Document</w:t>
      </w:r>
    </w:p>
    <w:p w:rsidR="00000000" w:rsidDel="00000000" w:rsidP="00000000" w:rsidRDefault="00000000" w:rsidRPr="00000000" w14:paraId="0000000E">
      <w:pPr>
        <w:rPr/>
      </w:pPr>
      <w:r w:rsidDel="00000000" w:rsidR="00000000" w:rsidRPr="00000000">
        <w:rPr>
          <w:rtl w:val="0"/>
        </w:rPr>
        <w:t xml:space="preserve">This document describes the operating procedures and guidelines established to facilitate the smooth, consistent, and efficient operation of the Greater Toronto Area Intergroup (GTAI) Communications Subcommittee. It clarifies the Subcommittee's mandate, scope of authority, membership recommendations, meeting and record-keeping practices, service-request processes, and the roles of the Communications Chair, Communications Secretary, Better Times Editor and their volunteers, Webmaster and their volunteers, and the Communications Operating Committee Liaison.</w:t>
      </w:r>
    </w:p>
    <w:p w:rsidR="00000000" w:rsidDel="00000000" w:rsidP="00000000" w:rsidRDefault="00000000" w:rsidRPr="00000000" w14:paraId="0000000F">
      <w:pPr>
        <w:pStyle w:val="Heading1"/>
        <w:rPr/>
      </w:pPr>
      <w:r w:rsidDel="00000000" w:rsidR="00000000" w:rsidRPr="00000000">
        <w:rPr>
          <w:rtl w:val="0"/>
        </w:rPr>
        <w:t xml:space="preserve">2. Procedures and Guidelines</w:t>
      </w:r>
    </w:p>
    <w:p w:rsidR="00000000" w:rsidDel="00000000" w:rsidP="00000000" w:rsidRDefault="00000000" w:rsidRPr="00000000" w14:paraId="00000010">
      <w:pPr>
        <w:rPr/>
      </w:pPr>
      <w:r w:rsidDel="00000000" w:rsidR="00000000" w:rsidRPr="00000000">
        <w:rPr>
          <w:b w:val="1"/>
          <w:bCs w:val="1"/>
          <w:rtl w:val="0"/>
        </w:rPr>
        <w:t xml:space="preserve">Procedures.</w:t>
      </w:r>
      <w:r w:rsidDel="00000000" w:rsidR="00000000" w:rsidRPr="00000000">
        <w:rPr>
          <w:rtl w:val="0"/>
        </w:rPr>
        <w:t xml:space="preserve"> Procedures describe the roles, responsibilities, policies, rules, and processes used by the Communications Subcommittee and its Chair. Once approved by the appropriate GTAI Operating Committee, procedures are to be followed unless they are amended or superseded by GTAI Operating Procedures or another governing policy.</w:t>
      </w:r>
    </w:p>
    <w:p w:rsidR="00000000" w:rsidDel="00000000" w:rsidP="00000000" w:rsidRDefault="00000000" w:rsidRPr="00000000" w14:paraId="00000011">
      <w:pPr>
        <w:rPr/>
      </w:pPr>
      <w:r w:rsidDel="00000000" w:rsidR="00000000" w:rsidRPr="00000000">
        <w:rPr>
          <w:b w:val="1"/>
          <w:bCs w:val="1"/>
          <w:rtl w:val="0"/>
        </w:rPr>
        <w:t xml:space="preserve">Guidelines.</w:t>
      </w:r>
      <w:r w:rsidDel="00000000" w:rsidR="00000000" w:rsidRPr="00000000">
        <w:rPr>
          <w:rtl w:val="0"/>
        </w:rPr>
        <w:t xml:space="preserve"> Guidelines describe recommended practices intended to support consistency, cooperation, continuity, and effective service. They allow reasonable flexibility when circumstances require it, provided that any action remains consistent with GTAI policy and the Twelve Traditions and Twelve Concepts for World Service.</w:t>
      </w:r>
    </w:p>
    <w:p w:rsidR="00000000" w:rsidDel="00000000" w:rsidP="00000000" w:rsidRDefault="00000000" w:rsidRPr="00000000" w14:paraId="00000012">
      <w:pPr>
        <w:rPr/>
      </w:pPr>
      <w:r w:rsidDel="00000000" w:rsidR="00000000" w:rsidRPr="00000000">
        <w:rPr>
          <w:b w:val="1"/>
          <w:bCs w:val="1"/>
          <w:rtl w:val="0"/>
        </w:rPr>
        <w:t xml:space="preserve">Order of authority.</w:t>
      </w:r>
      <w:r w:rsidDel="00000000" w:rsidR="00000000" w:rsidRPr="00000000">
        <w:rPr>
          <w:rtl w:val="0"/>
        </w:rPr>
        <w:t xml:space="preserve"> If any part of this document conflicts with the current GTAI Operating Procedures or a policy established by the Operating Committee, the GTAI Operating Procedures or Operating Committee policy shall prevail.</w:t>
      </w:r>
    </w:p>
    <w:p w:rsidR="00000000" w:rsidDel="00000000" w:rsidP="00000000" w:rsidRDefault="00000000" w:rsidRPr="00000000" w14:paraId="00000013">
      <w:pPr>
        <w:pStyle w:val="Heading1"/>
        <w:rPr/>
      </w:pPr>
      <w:r w:rsidDel="00000000" w:rsidR="00000000" w:rsidRPr="00000000">
        <w:rPr>
          <w:rtl w:val="0"/>
        </w:rPr>
        <w:t xml:space="preserve">3. Mandate and Functions</w:t>
      </w:r>
    </w:p>
    <w:p w:rsidR="00000000" w:rsidDel="00000000" w:rsidP="00000000" w:rsidRDefault="00000000" w:rsidRPr="00000000" w14:paraId="00000014">
      <w:pPr>
        <w:rPr/>
      </w:pPr>
      <w:r w:rsidDel="00000000" w:rsidR="00000000" w:rsidRPr="00000000">
        <w:rPr>
          <w:rtl w:val="0"/>
        </w:rPr>
        <w:t xml:space="preserve">The Communications Subcommittee is responsible for:</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Maintaining the GTA Intergroup website and supporting the accuracy, usefulness, and timely updating of its content.</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Creating and issuing the GTA Intergroup's newsletter the Better Times, through support and guidance to the Editor and their team.</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Handling local requests for information about Alcoholics Anonymous, including appropriate requests from the public, press or other media.</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Providing information when appropriate, acting as a liaison, or referring a request to the appropriate local A.A. service entity, including one of the eight districts serving the Greater Toronto Area.</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Carrying out communications-related service functions assigned by the Operating Committee in accordance with GTAI policies and A.A.'s Traditions.</w:t>
      </w:r>
    </w:p>
    <w:p w:rsidR="00000000" w:rsidDel="00000000" w:rsidP="00000000" w:rsidRDefault="00000000" w:rsidRPr="00000000" w14:paraId="0000001A">
      <w:pPr>
        <w:pStyle w:val="Heading1"/>
        <w:rPr/>
      </w:pPr>
      <w:r w:rsidDel="00000000" w:rsidR="00000000" w:rsidRPr="00000000">
        <w:rPr>
          <w:rtl w:val="0"/>
        </w:rPr>
        <w:t xml:space="preserve">4. Scope of Authority</w:t>
      </w:r>
    </w:p>
    <w:p w:rsidR="00000000" w:rsidDel="00000000" w:rsidP="00000000" w:rsidRDefault="00000000" w:rsidRPr="00000000" w14:paraId="0000001B">
      <w:pPr>
        <w:rPr/>
      </w:pPr>
      <w:r w:rsidDel="00000000" w:rsidR="00000000" w:rsidRPr="00000000">
        <w:rPr>
          <w:rtl w:val="0"/>
        </w:rPr>
        <w:t xml:space="preserve">The Communications Subcommittee carries out its mandate within the authority delegated to it by GTA Intergroup and the Operating Committee.</w:t>
      </w:r>
    </w:p>
    <w:p w:rsidR="00000000" w:rsidDel="00000000" w:rsidP="00000000" w:rsidRDefault="00000000" w:rsidRPr="00000000" w14:paraId="0000001C">
      <w:pPr>
        <w:rPr/>
      </w:pPr>
      <w:r w:rsidDel="00000000" w:rsidR="00000000" w:rsidRPr="00000000">
        <w:rPr>
          <w:rtl w:val="0"/>
        </w:rPr>
        <w:t xml:space="preserve">The Subcommittee may make routine operational decisions necessary to carry out its approved communications functions, provided those decisions are consistent with GTAI policy, approved budgets, A.A.'s Traditions, and any direction of the Operating Committee.</w:t>
      </w:r>
    </w:p>
    <w:p w:rsidR="00000000" w:rsidDel="00000000" w:rsidP="00000000" w:rsidRDefault="00000000" w:rsidRPr="00000000" w14:paraId="0000001D">
      <w:pPr>
        <w:rPr/>
      </w:pPr>
      <w:r w:rsidDel="00000000" w:rsidR="00000000" w:rsidRPr="00000000">
        <w:rPr>
          <w:rtl w:val="0"/>
        </w:rPr>
        <w:t xml:space="preserve">Matters involving significant new expenditures, contractual commitments, changes to GTAI policy, substantial changes to the purpose or function of GTAI communications assets, or matters otherwise reserved to the Operating Committee or Intergroup shall be referred to the appropriate GTAI authority for consideration.</w:t>
      </w:r>
    </w:p>
    <w:p w:rsidR="00000000" w:rsidDel="00000000" w:rsidP="00000000" w:rsidRDefault="00000000" w:rsidRPr="00000000" w14:paraId="0000001E">
      <w:pPr>
        <w:rPr/>
      </w:pPr>
      <w:r w:rsidDel="00000000" w:rsidR="00000000" w:rsidRPr="00000000">
        <w:rPr>
          <w:rtl w:val="0"/>
        </w:rPr>
        <w:t xml:space="preserve">Nothing in these Procedures and Guidelines gives the Communications Subcommittee, its Chair, or any individual member authority that is reserved under GTAI Operating Procedures to the Operating Committee, Intergroup, or another GTAI service body.</w:t>
      </w:r>
    </w:p>
    <w:p w:rsidR="00000000" w:rsidDel="00000000" w:rsidP="00000000" w:rsidRDefault="00000000" w:rsidRPr="00000000" w14:paraId="0000001F">
      <w:pPr>
        <w:pStyle w:val="Heading1"/>
        <w:rPr/>
      </w:pPr>
      <w:r w:rsidDel="00000000" w:rsidR="00000000" w:rsidRPr="00000000">
        <w:rPr>
          <w:rtl w:val="0"/>
        </w:rPr>
        <w:t xml:space="preserve">5. Membership and Recommended Experience</w:t>
      </w:r>
    </w:p>
    <w:p w:rsidR="00000000" w:rsidDel="00000000" w:rsidP="00000000" w:rsidRDefault="00000000" w:rsidRPr="00000000" w14:paraId="00000020">
      <w:pPr>
        <w:pStyle w:val="Heading2"/>
        <w:rPr/>
      </w:pPr>
      <w:r w:rsidDel="00000000" w:rsidR="00000000" w:rsidRPr="00000000">
        <w:rPr>
          <w:rtl w:val="0"/>
        </w:rPr>
        <w:t xml:space="preserve">5.1 Chair</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recommended sobriety requirement for the Communications Subcommittee Chair is two years of continuous sobriety.</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Chair should be familiar with the Twelve Traditions and Twelve Concepts for World Service and should have the ability, availability, and relevant skills to perform the duties of the office.</w:t>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WordPress knowledge, proofreading ability, and editorial skills are assets but are not required.</w:t>
      </w:r>
    </w:p>
    <w:p w:rsidR="00000000" w:rsidDel="00000000" w:rsidP="00000000" w:rsidRDefault="00000000" w:rsidRPr="00000000" w14:paraId="00000024">
      <w:pPr>
        <w:pStyle w:val="Heading2"/>
        <w:rPr/>
      </w:pPr>
      <w:r w:rsidDel="00000000" w:rsidR="00000000" w:rsidRPr="00000000">
        <w:rPr>
          <w:rtl w:val="0"/>
        </w:rPr>
        <w:t xml:space="preserve">5.2 Subcommittee Members</w:t>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Members are recommended to have a minimum of six months of continuous sobriety.</w:t>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Members are recommended to have read the Twelve Traditions and Twelve Concepts for World Service, or to be willing to study them while serving.</w:t>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Members should be willing to work cooperatively, respect anonymity and confidentiality, follow approved communications practices, and complete agreed service tasks in a timely manner.</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Members of the communications subcommittee will be provided and expected to use only their provided name</w:t>
      </w: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@aatoronto.org</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email for all communications committee business. These emails will be set up and assigned by the IT committee chair.</w:t>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Webmaster may temporarily suspend a member's website access where reasonably necessary to protect the security or integrity of the website. Any suspension should be promptly reported to the Communications Chair and may be reported to the communications Liaison. Restoration or modification of access should be determined based on training, demonstrated competency, security requirements, and the needs of the Subcommittee.</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All Subcommittee members wishing to assist with website maintenance must complete appropriate training with the Webmaster. Website tasks and levels of access will be assigned according to the member's demonstrated competency, the security requirements of the website, and the needs of the Subcommittee.</w:t>
      </w:r>
    </w:p>
    <w:p w:rsidR="00000000" w:rsidDel="00000000" w:rsidP="00000000" w:rsidRDefault="00000000" w:rsidRPr="00000000" w14:paraId="0000002B">
      <w:pPr>
        <w:pStyle w:val="Heading1"/>
        <w:rPr/>
      </w:pPr>
      <w:r w:rsidDel="00000000" w:rsidR="00000000" w:rsidRPr="00000000">
        <w:rPr>
          <w:rtl w:val="0"/>
        </w:rPr>
        <w:t xml:space="preserve">6. Meetings and Records</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Communications Subcommittee shall meet no fewer than six times per year.</w:t>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Subcommittee shall keep minutes of every meeting available in the communications G Drive.</w:t>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Minutes shall be submitted for safekeeping to the GTA Intergroup Administrative Assistant at admin@aatoronto.org within thirty days of the meeting.</w:t>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Subcommittee minutes are available to members of Alcoholics Anonymous upon written request to the GTA Intergroup Office, except for any portions withheld in accordance with GTAI policy, privacy, anonymity, legal, or confidentiality requirements.</w:t>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Chair is responsible for ensuring that the effective strength of the Subcommittee does not fall below three members.</w:t>
      </w:r>
    </w:p>
    <w:p w:rsidR="00000000" w:rsidDel="00000000" w:rsidP="00000000" w:rsidRDefault="00000000" w:rsidRPr="00000000" w14:paraId="00000031">
      <w:pPr>
        <w:pStyle w:val="Heading1"/>
        <w:rPr/>
      </w:pPr>
      <w:r w:rsidDel="00000000" w:rsidR="00000000" w:rsidRPr="00000000">
        <w:rPr>
          <w:rtl w:val="0"/>
        </w:rPr>
        <w:t xml:space="preserve">7. Roles and Responsibilities</w:t>
      </w:r>
    </w:p>
    <w:p w:rsidR="00000000" w:rsidDel="00000000" w:rsidP="00000000" w:rsidRDefault="00000000" w:rsidRPr="00000000" w14:paraId="00000032">
      <w:pPr>
        <w:pStyle w:val="Heading2"/>
        <w:rPr/>
      </w:pPr>
      <w:r w:rsidDel="00000000" w:rsidR="00000000" w:rsidRPr="00000000">
        <w:rPr>
          <w:rtl w:val="0"/>
        </w:rPr>
        <w:t xml:space="preserve">7.1 Communications Subcommittee Chair</w:t>
      </w:r>
    </w:p>
    <w:p w:rsidR="00000000" w:rsidDel="00000000" w:rsidP="00000000" w:rsidRDefault="00000000" w:rsidRPr="00000000" w14:paraId="00000033">
      <w:pPr>
        <w:rPr/>
      </w:pPr>
      <w:r w:rsidDel="00000000" w:rsidR="00000000" w:rsidRPr="00000000">
        <w:rPr>
          <w:rtl w:val="0"/>
        </w:rPr>
        <w:t xml:space="preserve">The Chair is responsible for:</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Providing overall leadership and coordinating the work of the Subcommittee.</w:t>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Preparing the agenda and providing it to the Secretary in sufficient time for distribution one week before each meeting.</w:t>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Chairing Subcommittee meetings and encouraging orderly, inclusive, and focused discussion using Robert's Rules of Order, as applicable.</w:t>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Ensuring that the Subcommittee carries out its mandate and adheres to policies established by the Operating Committee.</w:t>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Assigning or coordinating communications tasks according to members' abilities, availability, and areas of service.</w:t>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Working with the Better Times Editor and Webmaster to identify and coordinate duties supporting the production and upkeep of the newsletter and website. These duties may include maintaining meeting listings and the calendar of events; preparing blog entries and newsletter articles; and developing themes, story ideas, and topic suggestions for both the newsletter and website.</w:t>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Ensuring appropriate oversight of website maintenance, Better Times, and responses or referrals concerning local requests for information about A.A.to be included in both publication forms.</w:t>
      </w:r>
    </w:p>
    <w:p w:rsidR="00000000" w:rsidDel="00000000" w:rsidP="00000000" w:rsidRDefault="00000000" w:rsidRPr="00000000" w14:paraId="000000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Working collaboratively with the Webmaster and providing communications-related guidance and constructive feedback concerning website content, priorities, and Subcommittee needs, within the scope authorized by the Operating Committee.</w:t>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Providing guidance and constructive feedback to the Better Times Editor to encourage current, accurate, and useful material while upholding A.A.'s Traditions.</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Working collaboratively with the paid service workers of the Intergroup office staff at 234 Eglinton Ave. E. </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Reporting the Subcommittee's activities to the Operating Committee and/or Intergroup, as required.</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Responsible for the budget of the communications committee and it’s spending.</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Monitoring membership and recruiting additional members when necessary so that the Subcommittee maintains an effective strength of at least three persons.</w:t>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Supporting a responsible transition and transfer of records, access, and active work to the next Chair at the end of the appointment.</w:t>
      </w:r>
    </w:p>
    <w:p w:rsidR="00000000" w:rsidDel="00000000" w:rsidP="00000000" w:rsidRDefault="00000000" w:rsidRPr="00000000" w14:paraId="00000042">
      <w:pPr>
        <w:pStyle w:val="Heading2"/>
        <w:rPr/>
      </w:pPr>
      <w:r w:rsidDel="00000000" w:rsidR="00000000" w:rsidRPr="00000000">
        <w:rPr>
          <w:rtl w:val="0"/>
        </w:rPr>
        <w:t xml:space="preserve">7.2 Secretary</w:t>
      </w:r>
    </w:p>
    <w:p w:rsidR="00000000" w:rsidDel="00000000" w:rsidP="00000000" w:rsidRDefault="00000000" w:rsidRPr="00000000" w14:paraId="00000043">
      <w:pPr>
        <w:rPr/>
      </w:pPr>
      <w:r w:rsidDel="00000000" w:rsidR="00000000" w:rsidRPr="00000000">
        <w:rPr>
          <w:rtl w:val="0"/>
        </w:rPr>
        <w:t xml:space="preserve">The Secretary is responsible for:</w:t>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Recording accurate minutes of Communications Subcommittee meetings.</w:t>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Distributing draft or approved minutes to Subcommittee Chair in a timely manner, and adding the minutes to the G drive</w:t>
      </w:r>
    </w:p>
    <w:p w:rsidR="00000000" w:rsidDel="00000000" w:rsidP="00000000" w:rsidRDefault="00000000" w:rsidRPr="00000000" w14:paraId="000000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Sending the minutes to admin@aatoronto.org within thirty days of the meeting for safekeeping by the Administrative Assistant.</w:t>
      </w:r>
    </w:p>
    <w:p w:rsidR="00000000" w:rsidDel="00000000" w:rsidP="00000000" w:rsidRDefault="00000000" w:rsidRPr="00000000" w14:paraId="000000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Sending the meeting agenda, as supplied by the Chair, to the liaison, invited guests and the Subcommittee members one week in advance of each meeting.</w:t>
      </w:r>
    </w:p>
    <w:p w:rsidR="00000000" w:rsidDel="00000000" w:rsidP="00000000" w:rsidRDefault="00000000" w:rsidRPr="00000000" w14:paraId="0000004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At the direction of the Chair, inviting other GTAI Subcommittee Chairs or service representatives to attend Communications Subcommittee meetings where their participation would assist the Subcommittee in supporting or communicating their service activities.</w:t>
      </w:r>
    </w:p>
    <w:p w:rsidR="00000000" w:rsidDel="00000000" w:rsidP="00000000" w:rsidRDefault="00000000" w:rsidRPr="00000000" w14:paraId="000000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Maintaining an orderly record of agendas, minutes, attendance, motions, decisions, and assigned action items, consistent with GTAI record-keeping practices.</w:t>
      </w:r>
    </w:p>
    <w:p w:rsidR="00000000" w:rsidDel="00000000" w:rsidP="00000000" w:rsidRDefault="00000000" w:rsidRPr="00000000" w14:paraId="0000004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In the absence of the Communications Chair, delivering the Communications Subcommittee's report at the Intergroup meeting when required.</w:t>
      </w:r>
    </w:p>
    <w:p w:rsidR="00000000" w:rsidDel="00000000" w:rsidP="00000000" w:rsidRDefault="00000000" w:rsidRPr="00000000" w14:paraId="0000004B">
      <w:pPr>
        <w:pStyle w:val="Heading2"/>
        <w:rPr/>
      </w:pPr>
      <w:r w:rsidDel="00000000" w:rsidR="00000000" w:rsidRPr="00000000">
        <w:rPr>
          <w:rtl w:val="0"/>
        </w:rPr>
        <w:t xml:space="preserve">7.3 Better Times Editor</w:t>
      </w:r>
    </w:p>
    <w:p w:rsidR="00000000" w:rsidDel="00000000" w:rsidP="00000000" w:rsidRDefault="00000000" w:rsidRPr="00000000" w14:paraId="0000004C">
      <w:pPr>
        <w:rPr/>
      </w:pPr>
      <w:r w:rsidDel="00000000" w:rsidR="00000000" w:rsidRPr="00000000">
        <w:rPr>
          <w:rtl w:val="0"/>
        </w:rPr>
        <w:t xml:space="preserve">The Better Times Editor is accountable to and works under the direction of the Communications Subcommittee Chair. The Editor is responsible for the day-to-day coordination and production of </w:t>
      </w:r>
      <w:r w:rsidDel="00000000" w:rsidR="00000000" w:rsidRPr="00000000">
        <w:rPr>
          <w:i w:val="1"/>
          <w:iCs w:val="1"/>
          <w:rtl w:val="0"/>
        </w:rPr>
        <w:t xml:space="preserve">Better Times</w:t>
      </w:r>
      <w:r w:rsidDel="00000000" w:rsidR="00000000" w:rsidRPr="00000000">
        <w:rPr>
          <w:rtl w:val="0"/>
        </w:rPr>
        <w:t xml:space="preserve"> and works collaboratively with the Chair and editorial team to ensure the newsletter reflects the direction, priorities, policies, and approved practices of the Communications Subcommittee and GTA Intergroup. Submissions for this position are sent by way of service resume to the GTAI Operating committee.</w:t>
      </w:r>
    </w:p>
    <w:p w:rsidR="00000000" w:rsidDel="00000000" w:rsidP="00000000" w:rsidRDefault="00000000" w:rsidRPr="00000000" w14:paraId="0000004D">
      <w:pPr>
        <w:rPr/>
      </w:pPr>
      <w:r w:rsidDel="00000000" w:rsidR="00000000" w:rsidRPr="00000000">
        <w:rPr>
          <w:rtl w:val="0"/>
        </w:rPr>
        <w:t xml:space="preserve">The Editor is responsible for:</w:t>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Planning, preparing, and coordinating each issue of </w:t>
      </w:r>
      <w:r w:rsidDel="00000000" w:rsidR="00000000" w:rsidRPr="00000000">
        <w:rPr>
          <w:rFonts w:ascii="Arial" w:cs="Arial" w:eastAsia="Arial" w:hAnsi="Arial"/>
          <w:b w:val="0"/>
          <w:bCs w:val="0"/>
          <w:i w:val="1"/>
          <w:iCs w:val="1"/>
          <w:smallCaps w:val="0"/>
          <w:strike w:val="0"/>
          <w:color w:val="000000"/>
          <w:sz w:val="21"/>
          <w:szCs w:val="21"/>
          <w:u w:val="none"/>
          <w:shd w:fill="auto" w:val="clear"/>
          <w:vertAlign w:val="baseline"/>
          <w:rtl w:val="0"/>
        </w:rPr>
        <w:t xml:space="preserve">Better Times</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in keeping with its purpose and the direction of the Communications Subcommittee.</w:t>
      </w:r>
    </w:p>
    <w:p w:rsidR="00000000" w:rsidDel="00000000" w:rsidP="00000000" w:rsidRDefault="00000000" w:rsidRPr="00000000" w14:paraId="0000004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20" w:right="0" w:hanging="283"/>
        <w:jc w:val="left"/>
        <w:rPr>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Developing article ideas and themes, encouraging submissions, and communicating with contributors.</w:t>
      </w:r>
    </w:p>
    <w:p w:rsidR="00000000" w:rsidDel="00000000" w:rsidP="00000000" w:rsidRDefault="00000000" w:rsidRPr="00000000" w14:paraId="0000005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20" w:right="0" w:hanging="283"/>
        <w:jc w:val="left"/>
        <w:rPr>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Working with Communications Subcommittee members who wish to learn and participate in the production and publication of </w:t>
      </w:r>
      <w:r w:rsidDel="00000000" w:rsidR="00000000" w:rsidRPr="00000000">
        <w:rPr>
          <w:rFonts w:ascii="Arial" w:cs="Arial" w:eastAsia="Arial" w:hAnsi="Arial"/>
          <w:b w:val="0"/>
          <w:bCs w:val="0"/>
          <w:i w:val="1"/>
          <w:iCs w:val="1"/>
          <w:smallCaps w:val="0"/>
          <w:strike w:val="0"/>
          <w:color w:val="000000"/>
          <w:sz w:val="21"/>
          <w:szCs w:val="21"/>
          <w:u w:val="none"/>
          <w:shd w:fill="auto" w:val="clear"/>
          <w:vertAlign w:val="baseline"/>
          <w:rtl w:val="0"/>
        </w:rPr>
        <w:t xml:space="preserve">Better Times</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as part of the editorial team. The Editor may also recruit additional A.A. members to serve as volunteers on the editorial team, as needed.</w:t>
      </w:r>
    </w:p>
    <w:p w:rsidR="00000000" w:rsidDel="00000000" w:rsidP="00000000" w:rsidRDefault="00000000" w:rsidRPr="00000000" w14:paraId="00000051">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20" w:right="0" w:hanging="283"/>
        <w:jc w:val="left"/>
        <w:rPr>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Reviewing and editing submissions for clarity, relevance, length, grammar, and consistency while respecting the contributor’s voice whenever possible.</w:t>
      </w:r>
    </w:p>
    <w:p w:rsidR="00000000" w:rsidDel="00000000" w:rsidP="00000000" w:rsidRDefault="00000000" w:rsidRPr="00000000" w14:paraId="0000005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20" w:right="0" w:hanging="283"/>
        <w:jc w:val="left"/>
        <w:rPr>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Confirming that material selected for publication is consistent with A.A.’s Traditions, GTAI policies, anonymity requirements, and applicable copyright or permission requirements.</w:t>
      </w:r>
    </w:p>
    <w:p w:rsidR="00000000" w:rsidDel="00000000" w:rsidP="00000000" w:rsidRDefault="00000000" w:rsidRPr="00000000" w14:paraId="0000005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20" w:right="0" w:hanging="283"/>
        <w:jc w:val="left"/>
        <w:rPr>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Coordinating the newsletter’s production schedule, layout, proofreading, and preparation for distribution and website publication, while ensuring the GTA Intergroup Office and Webmaster are provided sufficient time to complete printing, distribution, and website updates.</w:t>
      </w:r>
    </w:p>
    <w:p w:rsidR="00000000" w:rsidDel="00000000" w:rsidP="00000000" w:rsidRDefault="00000000" w:rsidRPr="00000000" w14:paraId="0000005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20" w:right="0" w:hanging="283"/>
        <w:jc w:val="left"/>
        <w:rPr>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Using only GTA Intergroup-approved editing, design, publishing, or other digital tools funded through the Communications budget. Any subscription, account, licence, or digital service paid for by GTA Intergroup must be established and maintained using an approved GTA Intergroup account or email address, with access credentials securely available to authorized Communications Subcommittee members, as appropriate. No GTAI-funded account or subscription shall be maintained exclusively through a volunteer’s or member’s personal email address or personal account.</w:t>
      </w:r>
    </w:p>
    <w:p w:rsidR="00000000" w:rsidDel="00000000" w:rsidP="00000000" w:rsidRDefault="00000000" w:rsidRPr="00000000" w14:paraId="0000005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20" w:right="0" w:hanging="283"/>
        <w:jc w:val="left"/>
        <w:rPr>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Submitting proposed content and completed issues to the Communications Chair for review prior to publication or distribution.</w:t>
      </w:r>
    </w:p>
    <w:p w:rsidR="00000000" w:rsidDel="00000000" w:rsidP="00000000" w:rsidRDefault="00000000" w:rsidRPr="00000000" w14:paraId="0000005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20" w:right="0" w:hanging="283"/>
        <w:jc w:val="left"/>
        <w:rPr>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Ensuring the final, publication-ready issue of </w:t>
      </w:r>
      <w:r w:rsidDel="00000000" w:rsidR="00000000" w:rsidRPr="00000000">
        <w:rPr>
          <w:rFonts w:ascii="Arial" w:cs="Arial" w:eastAsia="Arial" w:hAnsi="Arial"/>
          <w:b w:val="0"/>
          <w:bCs w:val="0"/>
          <w:i w:val="1"/>
          <w:iCs w:val="1"/>
          <w:smallCaps w:val="0"/>
          <w:strike w:val="0"/>
          <w:color w:val="000000"/>
          <w:sz w:val="21"/>
          <w:szCs w:val="21"/>
          <w:u w:val="none"/>
          <w:shd w:fill="auto" w:val="clear"/>
          <w:vertAlign w:val="baseline"/>
          <w:rtl w:val="0"/>
        </w:rPr>
        <w:t xml:space="preserve">Better Times</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is provided to the GTAI Office Administrator </w:t>
      </w: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no later than the Thursday preceding the monthly GTA Intergroup meeting, which is held on the last Tuesday of each month</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This deadline allows sufficient time for printed copies to be prepared for the Intergroup meeting, for email distribution, and for the Webmaster to publish the issue on the GTAI website.</w:t>
      </w:r>
    </w:p>
    <w:p w:rsidR="00000000" w:rsidDel="00000000" w:rsidP="00000000" w:rsidRDefault="00000000" w:rsidRPr="00000000" w14:paraId="0000005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20" w:right="0" w:hanging="283"/>
        <w:jc w:val="left"/>
        <w:rPr>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Maintaining an organized record of submissions, contributor permissions, published issues, and work in progress, and ensuring these records are responsibly transferred to a successor.</w:t>
      </w:r>
    </w:p>
    <w:p w:rsidR="00000000" w:rsidDel="00000000" w:rsidP="00000000" w:rsidRDefault="00000000" w:rsidRPr="00000000" w14:paraId="0000005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20" w:right="0" w:hanging="283"/>
        <w:jc w:val="left"/>
        <w:rPr>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Supporting succession planning by identifying and, where appropriate, training potential successors from within the editorial team or broader A.A. community before the end of the Editor’s term. When a successor is needed, the Editor may request that the position be promoted through the GTA Intergroup website, </w:t>
      </w:r>
      <w:r w:rsidDel="00000000" w:rsidR="00000000" w:rsidRPr="00000000">
        <w:rPr>
          <w:rFonts w:ascii="Arial" w:cs="Arial" w:eastAsia="Arial" w:hAnsi="Arial"/>
          <w:b w:val="0"/>
          <w:bCs w:val="0"/>
          <w:i w:val="1"/>
          <w:iCs w:val="1"/>
          <w:smallCaps w:val="0"/>
          <w:strike w:val="0"/>
          <w:color w:val="000000"/>
          <w:sz w:val="21"/>
          <w:szCs w:val="21"/>
          <w:u w:val="none"/>
          <w:shd w:fill="auto" w:val="clear"/>
          <w:vertAlign w:val="baseline"/>
          <w:rtl w:val="0"/>
        </w:rPr>
        <w:t xml:space="preserve">Better Times</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and other approved communications channels, and may invite interested A.A. members to submit service résumés to the Operating Committee for consideration.</w:t>
      </w:r>
    </w:p>
    <w:p w:rsidR="00000000" w:rsidDel="00000000" w:rsidP="00000000" w:rsidRDefault="00000000" w:rsidRPr="00000000" w14:paraId="0000005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0"/>
        </w:tabs>
        <w:spacing w:after="100" w:before="0" w:line="276" w:lineRule="auto"/>
        <w:ind w:left="720" w:right="0" w:hanging="283"/>
        <w:jc w:val="left"/>
        <w:rPr>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Keeping the Communications Chair informed of editorial activities, proposed changes, concerns, resource needs, and matters requiring direction or approval, and carrying out the work of </w:t>
      </w:r>
      <w:r w:rsidDel="00000000" w:rsidR="00000000" w:rsidRPr="00000000">
        <w:rPr>
          <w:rFonts w:ascii="Arial" w:cs="Arial" w:eastAsia="Arial" w:hAnsi="Arial"/>
          <w:b w:val="0"/>
          <w:bCs w:val="0"/>
          <w:i w:val="1"/>
          <w:iCs w:val="1"/>
          <w:smallCaps w:val="0"/>
          <w:strike w:val="0"/>
          <w:color w:val="000000"/>
          <w:sz w:val="21"/>
          <w:szCs w:val="21"/>
          <w:u w:val="none"/>
          <w:shd w:fill="auto" w:val="clear"/>
          <w:vertAlign w:val="baseline"/>
          <w:rtl w:val="0"/>
        </w:rPr>
        <w:t xml:space="preserve">Better Times</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in accordance with the direction of the Communications Chair and Communications Subcommittee. </w:t>
      </w:r>
    </w:p>
    <w:p w:rsidR="00000000" w:rsidDel="00000000" w:rsidP="00000000" w:rsidRDefault="00000000" w:rsidRPr="00000000" w14:paraId="0000005A">
      <w:pPr>
        <w:keepNext w:val="0"/>
        <w:keepLines w:val="0"/>
        <w:pageBreakBefore w:val="0"/>
        <w:widowControl w:val="1"/>
        <w:numPr>
          <w:ilvl w:val="2"/>
          <w:numId w:val="9"/>
        </w:numPr>
        <w:pBdr>
          <w:top w:space="0" w:sz="0" w:val="nil"/>
          <w:left w:space="0" w:sz="0" w:val="nil"/>
          <w:bottom w:space="0" w:sz="0" w:val="nil"/>
          <w:right w:space="0" w:sz="0" w:val="nil"/>
          <w:between w:space="0" w:sz="0" w:val="nil"/>
        </w:pBdr>
        <w:shd w:fill="auto" w:val="clear"/>
        <w:tabs>
          <w:tab w:val="left" w:leader="none" w:pos="0"/>
        </w:tabs>
        <w:spacing w:after="100" w:before="0" w:line="276" w:lineRule="auto"/>
        <w:ind w:left="1440" w:right="0" w:hanging="360"/>
        <w:jc w:val="left"/>
        <w:rPr>
          <w:u w:val="none"/>
        </w:rPr>
      </w:pPr>
      <w:r w:rsidDel="00000000" w:rsidR="00000000" w:rsidRPr="00000000">
        <w:rPr>
          <w:rtl w:val="0"/>
        </w:rPr>
        <w:t xml:space="preserve">Editorial Team: Chief Editor may develop their own team which may include </w:t>
        <w:tab/>
      </w:r>
    </w:p>
    <w:p w:rsidR="00000000" w:rsidDel="00000000" w:rsidP="00000000" w:rsidRDefault="00000000" w:rsidRPr="00000000" w14:paraId="0000005B">
      <w:pPr>
        <w:keepNext w:val="0"/>
        <w:keepLines w:val="0"/>
        <w:pageBreakBefore w:val="0"/>
        <w:widowControl w:val="1"/>
        <w:numPr>
          <w:ilvl w:val="3"/>
          <w:numId w:val="9"/>
        </w:numPr>
        <w:pBdr>
          <w:top w:space="0" w:sz="0" w:val="nil"/>
          <w:left w:space="0" w:sz="0" w:val="nil"/>
          <w:bottom w:space="0" w:sz="0" w:val="nil"/>
          <w:right w:space="0" w:sz="0" w:val="nil"/>
          <w:between w:space="0" w:sz="0" w:val="nil"/>
        </w:pBdr>
        <w:shd w:fill="auto" w:val="clear"/>
        <w:tabs>
          <w:tab w:val="left" w:leader="none" w:pos="0"/>
        </w:tabs>
        <w:spacing w:after="100" w:before="0" w:line="276" w:lineRule="auto"/>
        <w:ind w:left="1800" w:right="0" w:hanging="360"/>
        <w:jc w:val="left"/>
        <w:rPr>
          <w:u w:val="none"/>
        </w:rPr>
      </w:pPr>
      <w:r w:rsidDel="00000000" w:rsidR="00000000" w:rsidRPr="00000000">
        <w:rPr>
          <w:rtl w:val="0"/>
        </w:rPr>
        <w:t xml:space="preserve">Editor - Plan content, edit content, adhere to editorial guidelines, maintain deadlines</w:t>
      </w:r>
    </w:p>
    <w:p w:rsidR="00000000" w:rsidDel="00000000" w:rsidP="00000000" w:rsidRDefault="00000000" w:rsidRPr="00000000" w14:paraId="0000005C">
      <w:pPr>
        <w:keepNext w:val="0"/>
        <w:keepLines w:val="0"/>
        <w:pageBreakBefore w:val="0"/>
        <w:widowControl w:val="1"/>
        <w:numPr>
          <w:ilvl w:val="3"/>
          <w:numId w:val="9"/>
        </w:numPr>
        <w:pBdr>
          <w:top w:space="0" w:sz="0" w:val="nil"/>
          <w:left w:space="0" w:sz="0" w:val="nil"/>
          <w:bottom w:space="0" w:sz="0" w:val="nil"/>
          <w:right w:space="0" w:sz="0" w:val="nil"/>
          <w:between w:space="0" w:sz="0" w:val="nil"/>
        </w:pBdr>
        <w:shd w:fill="auto" w:val="clear"/>
        <w:tabs>
          <w:tab w:val="left" w:leader="none" w:pos="0"/>
        </w:tabs>
        <w:spacing w:after="100" w:before="0" w:line="276" w:lineRule="auto"/>
        <w:ind w:left="1800" w:right="0" w:hanging="360"/>
        <w:jc w:val="left"/>
        <w:rPr>
          <w:u w:val="none"/>
        </w:rPr>
      </w:pPr>
      <w:r w:rsidDel="00000000" w:rsidR="00000000" w:rsidRPr="00000000">
        <w:rPr>
          <w:rtl w:val="0"/>
        </w:rPr>
        <w:t xml:space="preserve"> Layout editor/graphic designer - layout of the publication, including the placement of photographs, artwork </w:t>
      </w:r>
    </w:p>
    <w:p w:rsidR="00000000" w:rsidDel="00000000" w:rsidP="00000000" w:rsidRDefault="00000000" w:rsidRPr="00000000" w14:paraId="0000005D">
      <w:pPr>
        <w:keepNext w:val="0"/>
        <w:keepLines w:val="0"/>
        <w:pageBreakBefore w:val="0"/>
        <w:widowControl w:val="1"/>
        <w:numPr>
          <w:ilvl w:val="3"/>
          <w:numId w:val="9"/>
        </w:numPr>
        <w:pBdr>
          <w:top w:space="0" w:sz="0" w:val="nil"/>
          <w:left w:space="0" w:sz="0" w:val="nil"/>
          <w:bottom w:space="0" w:sz="0" w:val="nil"/>
          <w:right w:space="0" w:sz="0" w:val="nil"/>
          <w:between w:space="0" w:sz="0" w:val="nil"/>
        </w:pBdr>
        <w:shd w:fill="auto" w:val="clear"/>
        <w:tabs>
          <w:tab w:val="left" w:leader="none" w:pos="0"/>
        </w:tabs>
        <w:spacing w:after="100" w:before="0" w:line="276" w:lineRule="auto"/>
        <w:ind w:left="1800" w:right="0" w:hanging="360"/>
        <w:jc w:val="left"/>
        <w:rPr>
          <w:u w:val="none"/>
        </w:rPr>
      </w:pPr>
      <w:r w:rsidDel="00000000" w:rsidR="00000000" w:rsidRPr="00000000">
        <w:rPr>
          <w:rtl w:val="0"/>
        </w:rPr>
        <w:t xml:space="preserve"> Proof reader - identify any errors in punctuation, grammar, and spelling before a piece gets published. </w:t>
      </w:r>
    </w:p>
    <w:p w:rsidR="00000000" w:rsidDel="00000000" w:rsidP="00000000" w:rsidRDefault="00000000" w:rsidRPr="00000000" w14:paraId="0000005E">
      <w:pPr>
        <w:keepNext w:val="0"/>
        <w:keepLines w:val="0"/>
        <w:pageBreakBefore w:val="0"/>
        <w:widowControl w:val="1"/>
        <w:numPr>
          <w:ilvl w:val="3"/>
          <w:numId w:val="9"/>
        </w:numPr>
        <w:pBdr>
          <w:top w:space="0" w:sz="0" w:val="nil"/>
          <w:left w:space="0" w:sz="0" w:val="nil"/>
          <w:bottom w:space="0" w:sz="0" w:val="nil"/>
          <w:right w:space="0" w:sz="0" w:val="nil"/>
          <w:between w:space="0" w:sz="0" w:val="nil"/>
        </w:pBdr>
        <w:shd w:fill="auto" w:val="clear"/>
        <w:tabs>
          <w:tab w:val="left" w:leader="none" w:pos="0"/>
        </w:tabs>
        <w:spacing w:after="100" w:before="0" w:line="276" w:lineRule="auto"/>
        <w:ind w:left="1800" w:right="0" w:hanging="360"/>
        <w:jc w:val="left"/>
        <w:rPr>
          <w:u w:val="none"/>
        </w:rPr>
      </w:pPr>
      <w:r w:rsidDel="00000000" w:rsidR="00000000" w:rsidRPr="00000000">
        <w:rPr>
          <w:rtl w:val="0"/>
        </w:rPr>
        <w:t xml:space="preserve"> Story Developmental Editor - someone who curates the stories by soliciting writing submissions</w:t>
      </w:r>
    </w:p>
    <w:p w:rsidR="00000000" w:rsidDel="00000000" w:rsidP="00000000" w:rsidRDefault="00000000" w:rsidRPr="00000000" w14:paraId="0000005F">
      <w:pPr>
        <w:pStyle w:val="Heading2"/>
        <w:rPr/>
      </w:pPr>
      <w:r w:rsidDel="00000000" w:rsidR="00000000" w:rsidRPr="00000000">
        <w:rPr>
          <w:rtl w:val="0"/>
        </w:rPr>
        <w:t xml:space="preserve">7.4 Webmaster</w:t>
      </w:r>
    </w:p>
    <w:p w:rsidR="00000000" w:rsidDel="00000000" w:rsidP="00000000" w:rsidRDefault="00000000" w:rsidRPr="00000000" w14:paraId="00000060">
      <w:pPr>
        <w:rPr/>
      </w:pPr>
      <w:r w:rsidDel="00000000" w:rsidR="00000000" w:rsidRPr="00000000">
        <w:rPr>
          <w:rtl w:val="0"/>
        </w:rPr>
        <w:t xml:space="preserve">The Webmaster is engaged by and accountable to the Operating Committee. In carrying out communications-related work, the Webmaster works collaboratively with the Communications Chair and Subcommittee within the scope authorized by the Operating Committee.</w:t>
      </w:r>
    </w:p>
    <w:p w:rsidR="00000000" w:rsidDel="00000000" w:rsidP="00000000" w:rsidRDefault="00000000" w:rsidRPr="00000000" w14:paraId="00000061">
      <w:pPr>
        <w:rPr/>
      </w:pPr>
      <w:r w:rsidDel="00000000" w:rsidR="00000000" w:rsidRPr="00000000">
        <w:rPr>
          <w:rtl w:val="0"/>
        </w:rPr>
        <w:t xml:space="preserve">The Webmaster is responsible for:</w:t>
      </w:r>
    </w:p>
    <w:p w:rsidR="00000000" w:rsidDel="00000000" w:rsidP="00000000" w:rsidRDefault="00000000" w:rsidRPr="00000000" w14:paraId="0000006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Maintaining the GTA Intergroup website and implementing content, design, and functional updates authorized through the Communications Subcommittee or appropriate GTAI authority.</w:t>
      </w:r>
    </w:p>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Supporting the accuracy, accessibility, usability, and timely updating of website information.</w:t>
      </w:r>
    </w:p>
    <w:p w:rsidR="00000000" w:rsidDel="00000000" w:rsidP="00000000" w:rsidRDefault="00000000" w:rsidRPr="00000000" w14:paraId="0000006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Coordinating with the Communications Chair, GTAI office, committees, districts, and other authorized content providers to verify information before publication when required.</w:t>
      </w:r>
    </w:p>
    <w:p w:rsidR="00000000" w:rsidDel="00000000" w:rsidP="00000000" w:rsidRDefault="00000000" w:rsidRPr="00000000" w14:paraId="0000006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Monitoring the website for broken links, outdated information, technical problems, security concerns, and other issues affecting visitors and the service provided to uphold our primary purpose: to carry the message to the still suffering alcoholic.</w:t>
      </w:r>
    </w:p>
    <w:p w:rsidR="00000000" w:rsidDel="00000000" w:rsidP="00000000" w:rsidRDefault="00000000" w:rsidRPr="00000000" w14:paraId="0000006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Following approved practices for website security, software updates, backups, administrator access, credentials, and protection of GTAI information.</w:t>
      </w:r>
    </w:p>
    <w:p w:rsidR="00000000" w:rsidDel="00000000" w:rsidP="00000000" w:rsidRDefault="00000000" w:rsidRPr="00000000" w14:paraId="0000006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Creating appropriate technical documentation in 2026/2027 and then maintaining and ensuring that website access credentials, records, and active projects can be transferred securely to an authorized successor. The GTA Intergroup Office Manager and Administrative Assistant should have access to necessary records and access documentation to facilitate a smooth transition to a successor in the Webmaster position.</w:t>
      </w:r>
    </w:p>
    <w:p w:rsidR="00000000" w:rsidDel="00000000" w:rsidP="00000000" w:rsidRDefault="00000000" w:rsidRPr="00000000" w14:paraId="0000006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Reporting significant website changes, technical concerns, incidents to the Communications Chair and reporting resource needs to the Finance Chair and the Operating Chair.</w:t>
      </w:r>
    </w:p>
    <w:p w:rsidR="00000000" w:rsidDel="00000000" w:rsidP="00000000" w:rsidRDefault="00000000" w:rsidRPr="00000000" w14:paraId="0000006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Identifying software, licensing, hosting, or other website-related financial requirements and submitting such requirements through the applicable GTAI budgeting or approval process.</w:t>
      </w:r>
    </w:p>
    <w:p w:rsidR="00000000" w:rsidDel="00000000" w:rsidP="00000000" w:rsidRDefault="00000000" w:rsidRPr="00000000" w14:paraId="0000006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Providing training or guidance to authorized Communications Subcommittee members who assist with approved website tasks.</w:t>
      </w:r>
    </w:p>
    <w:p w:rsidR="00000000" w:rsidDel="00000000" w:rsidP="00000000" w:rsidRDefault="00000000" w:rsidRPr="00000000" w14:paraId="0000006B">
      <w:pPr>
        <w:pStyle w:val="Heading2"/>
        <w:rPr/>
      </w:pPr>
      <w:r w:rsidDel="00000000" w:rsidR="00000000" w:rsidRPr="00000000">
        <w:rPr>
          <w:rtl w:val="0"/>
        </w:rPr>
        <w:t xml:space="preserve">7.5 Subcommittee Members</w:t>
      </w:r>
    </w:p>
    <w:p w:rsidR="00000000" w:rsidDel="00000000" w:rsidP="00000000" w:rsidRDefault="00000000" w:rsidRPr="00000000" w14:paraId="0000006C">
      <w:pPr>
        <w:rPr/>
      </w:pPr>
      <w:r w:rsidDel="00000000" w:rsidR="00000000" w:rsidRPr="00000000">
        <w:rPr>
          <w:rtl w:val="0"/>
        </w:rPr>
        <w:t xml:space="preserve">Members are expected to:</w:t>
      </w:r>
    </w:p>
    <w:p w:rsidR="00000000" w:rsidDel="00000000" w:rsidP="00000000" w:rsidRDefault="00000000" w:rsidRPr="00000000" w14:paraId="0000006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Participate regularly in meetings and Subcommittee work this requires attendance at 6 meetings per year as a minimum.</w:t>
      </w:r>
    </w:p>
    <w:p w:rsidR="00000000" w:rsidDel="00000000" w:rsidP="00000000" w:rsidRDefault="00000000" w:rsidRPr="00000000" w14:paraId="0000006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Review agendas and relevant materials before meetings whenever possible.</w:t>
      </w:r>
    </w:p>
    <w:p w:rsidR="00000000" w:rsidDel="00000000" w:rsidP="00000000" w:rsidRDefault="00000000" w:rsidRPr="00000000" w14:paraId="0000006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Carry out agreed assignments and promptly advise the Chair if assistance or reassignment is needed.</w:t>
      </w:r>
    </w:p>
    <w:p w:rsidR="00000000" w:rsidDel="00000000" w:rsidP="00000000" w:rsidRDefault="00000000" w:rsidRPr="00000000" w14:paraId="0000007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Protect members' anonymity and any sensitive, unpublished, or access-controlled information encountered through service.</w:t>
      </w:r>
    </w:p>
    <w:p w:rsidR="00000000" w:rsidDel="00000000" w:rsidP="00000000" w:rsidRDefault="00000000" w:rsidRPr="00000000" w14:paraId="0000007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Support group conscience decisions and conduct themselves in accordance with A.A.'s Traditions and GTAI policies.</w:t>
      </w:r>
    </w:p>
    <w:p w:rsidR="00000000" w:rsidDel="00000000" w:rsidP="00000000" w:rsidRDefault="00000000" w:rsidRPr="00000000" w14:paraId="0000007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Members who are unable to participate for three consecutive meetings should communicate with the Chair regarding their continued availability for service. The Chair may consider the position inactive where a member is no longer able to participate.</w:t>
      </w:r>
    </w:p>
    <w:p w:rsidR="00000000" w:rsidDel="00000000" w:rsidP="00000000" w:rsidRDefault="00000000" w:rsidRPr="00000000" w14:paraId="0000007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Members working on behalf of the committee will be assigned a </w:t>
      </w:r>
      <w:hyperlink r:id="rId7">
        <w:r w:rsidDel="00000000" w:rsidR="00000000" w:rsidRPr="00000000">
          <w:rPr>
            <w:rFonts w:ascii="Arial" w:cs="Arial" w:eastAsia="Arial" w:hAnsi="Arial"/>
            <w:b w:val="0"/>
            <w:bCs w:val="0"/>
            <w:i w:val="0"/>
            <w:iCs w:val="0"/>
            <w:smallCaps w:val="0"/>
            <w:strike w:val="0"/>
            <w:color w:val="000080"/>
            <w:sz w:val="21"/>
            <w:szCs w:val="21"/>
            <w:u w:val="single"/>
            <w:shd w:fill="auto" w:val="clear"/>
            <w:vertAlign w:val="baseline"/>
            <w:rtl w:val="0"/>
          </w:rPr>
          <w:t xml:space="preserve">name@aatoronto.org</w:t>
        </w:r>
      </w:hyperlink>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email by the IT Chair and are expected to use it for all committee related business.</w:t>
      </w:r>
    </w:p>
    <w:p w:rsidR="00000000" w:rsidDel="00000000" w:rsidP="00000000" w:rsidRDefault="00000000" w:rsidRPr="00000000" w14:paraId="00000074">
      <w:pPr>
        <w:pStyle w:val="Heading2"/>
        <w:rPr/>
      </w:pPr>
      <w:r w:rsidDel="00000000" w:rsidR="00000000" w:rsidRPr="00000000">
        <w:rPr>
          <w:rtl w:val="0"/>
        </w:rPr>
        <w:t xml:space="preserve">7.6 Operating Committee Liaison</w:t>
      </w:r>
    </w:p>
    <w:p w:rsidR="00000000" w:rsidDel="00000000" w:rsidP="00000000" w:rsidRDefault="00000000" w:rsidRPr="00000000" w14:paraId="0000007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Operating Committee (OC) Liaison has the right to participate in Subcommittee meetings but does not have the right to vote, make motions, or second motions.</w:t>
      </w:r>
    </w:p>
    <w:p w:rsidR="00000000" w:rsidDel="00000000" w:rsidP="00000000" w:rsidRDefault="00000000" w:rsidRPr="00000000" w14:paraId="0000007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In the absence of the Subcommittee Chair, the Secretary or the OC Liaison may chair a meeting if asked to do so by the Subcommittee Chair or Secretary.</w:t>
      </w:r>
    </w:p>
    <w:p w:rsidR="00000000" w:rsidDel="00000000" w:rsidP="00000000" w:rsidRDefault="00000000" w:rsidRPr="00000000" w14:paraId="0000007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In the absence of both the Communications Chair and Secretary, the OC Liaison may deliver the Subcommittee's report at the Intergroup meeting.</w:t>
      </w:r>
    </w:p>
    <w:p w:rsidR="00000000" w:rsidDel="00000000" w:rsidP="00000000" w:rsidRDefault="00000000" w:rsidRPr="00000000" w14:paraId="0000007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At the Subcommittee's request, the OC Liaison may assist with specific Subcommittee activities; however, the Liaison cannot be granted voting rights.</w:t>
      </w:r>
    </w:p>
    <w:p w:rsidR="00000000" w:rsidDel="00000000" w:rsidP="00000000" w:rsidRDefault="00000000" w:rsidRPr="00000000" w14:paraId="0000007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OC Liaison supports communication between the Subcommittee and the Operating Committee and helps clarify applicable GTAI policies when needed.</w:t>
      </w:r>
    </w:p>
    <w:p w:rsidR="00000000" w:rsidDel="00000000" w:rsidP="00000000" w:rsidRDefault="00000000" w:rsidRPr="00000000" w14:paraId="0000007A">
      <w:pPr>
        <w:pStyle w:val="Heading1"/>
        <w:rPr/>
      </w:pPr>
      <w:r w:rsidDel="00000000" w:rsidR="00000000" w:rsidRPr="00000000">
        <w:rPr>
          <w:rtl w:val="0"/>
        </w:rPr>
        <w:t xml:space="preserve">8. Communications Service Requests and Project Prioritization</w:t>
      </w:r>
    </w:p>
    <w:p w:rsidR="00000000" w:rsidDel="00000000" w:rsidP="00000000" w:rsidRDefault="00000000" w:rsidRPr="00000000" w14:paraId="0000007B">
      <w:pPr>
        <w:rPr/>
      </w:pPr>
      <w:r w:rsidDel="00000000" w:rsidR="00000000" w:rsidRPr="00000000">
        <w:rPr>
          <w:rtl w:val="0"/>
        </w:rPr>
        <w:t xml:space="preserve">Requests from GTAI committees, officers, districts, or other authorized service entities for communications assistance should be submitted to the Communications Chair </w:t>
      </w:r>
      <w:hyperlink r:id="rId8">
        <w:r w:rsidDel="00000000" w:rsidR="00000000" w:rsidRPr="00000000">
          <w:rPr>
            <w:color w:val="000080"/>
            <w:u w:val="single"/>
            <w:rtl w:val="0"/>
          </w:rPr>
          <w:t xml:space="preserve">cc.chair@aatoronto.org</w:t>
        </w:r>
      </w:hyperlink>
      <w:r w:rsidDel="00000000" w:rsidR="00000000" w:rsidRPr="00000000">
        <w:rPr>
          <w:rtl w:val="0"/>
        </w:rPr>
        <w:t xml:space="preserve"> or through GTAI communications liaison.</w:t>
      </w:r>
    </w:p>
    <w:p w:rsidR="00000000" w:rsidDel="00000000" w:rsidP="00000000" w:rsidRDefault="00000000" w:rsidRPr="00000000" w14:paraId="0000007C">
      <w:pPr>
        <w:rPr/>
      </w:pPr>
      <w:r w:rsidDel="00000000" w:rsidR="00000000" w:rsidRPr="00000000">
        <w:rPr>
          <w:rtl w:val="0"/>
        </w:rPr>
        <w:t xml:space="preserve">Routine content updates may be completed within the normal work of the Subcommittee. Requests requiring significant design, development, programming, technical work, coding, additional paid Webmaster hours, new software, or other financial resources shall be evaluated for scope, available resources, priority, and any required authorization from the GTAI Operating committee before work begins.</w:t>
      </w:r>
    </w:p>
    <w:p w:rsidR="00000000" w:rsidDel="00000000" w:rsidP="00000000" w:rsidRDefault="00000000" w:rsidRPr="00000000" w14:paraId="0000007D">
      <w:pPr>
        <w:rPr/>
      </w:pPr>
      <w:r w:rsidDel="00000000" w:rsidR="00000000" w:rsidRPr="00000000">
        <w:rPr>
          <w:rtl w:val="0"/>
        </w:rPr>
        <w:t xml:space="preserve">The Communications Subcommittee is not obligated to implement every requested feature or project. Work shall be prioritized according to GTAI needs, available volunteer and paid resources, approved budgets, technical requirements, and direction from the appropriate GTAI authority.</w:t>
      </w:r>
    </w:p>
    <w:p w:rsidR="00000000" w:rsidDel="00000000" w:rsidP="00000000" w:rsidRDefault="00000000" w:rsidRPr="00000000" w14:paraId="0000007E">
      <w:pPr>
        <w:rPr/>
      </w:pPr>
      <w:r w:rsidDel="00000000" w:rsidR="00000000" w:rsidRPr="00000000">
        <w:rPr>
          <w:rtl w:val="0"/>
        </w:rPr>
        <w:t xml:space="preserve">Where a request is outside the Subcommittee's authority, approved budget, or available resources, the request shall be referred to the appropriate GTAI authority for consideration.</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pStyle w:val="Heading1"/>
        <w:rPr/>
      </w:pPr>
      <w:r w:rsidDel="00000000" w:rsidR="00000000" w:rsidRPr="00000000">
        <w:rPr>
          <w:rtl w:val="0"/>
        </w:rPr>
        <w:t xml:space="preserve">9. Appointment, Accountability, and Terms of the Chair</w:t>
      </w:r>
    </w:p>
    <w:p w:rsidR="00000000" w:rsidDel="00000000" w:rsidP="00000000" w:rsidRDefault="00000000" w:rsidRPr="00000000" w14:paraId="0000008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Operating Committee appoints the Chairperson of the Communications Subcommittee.</w:t>
      </w:r>
    </w:p>
    <w:p w:rsidR="00000000" w:rsidDel="00000000" w:rsidP="00000000" w:rsidRDefault="00000000" w:rsidRPr="00000000" w14:paraId="0000008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In addition to the applicable sobriety requirement, the criterion for selecting a GTAI Communications Chair is the person's ability to perform the duties and tasks of the office.</w:t>
      </w:r>
    </w:p>
    <w:p w:rsidR="00000000" w:rsidDel="00000000" w:rsidP="00000000" w:rsidRDefault="00000000" w:rsidRPr="00000000" w14:paraId="0000008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Communications Subcommittee Chair serves at the pleasure of the Operating Committee and may be removed before the end of the term by a two-thirds vote of the Operating Committee members.</w:t>
      </w:r>
    </w:p>
    <w:p w:rsidR="00000000" w:rsidDel="00000000" w:rsidP="00000000" w:rsidRDefault="00000000" w:rsidRPr="00000000" w14:paraId="0000008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Chair is responsible for adhering to policies established by the Operating Committee.</w:t>
      </w:r>
    </w:p>
    <w:p w:rsidR="00000000" w:rsidDel="00000000" w:rsidP="00000000" w:rsidRDefault="00000000" w:rsidRPr="00000000" w14:paraId="0000008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Communications Subcommittee Chair is appointed for a one-year term and may be reappointed for a second term with Operating Committee approval.</w:t>
      </w:r>
    </w:p>
    <w:p w:rsidR="00000000" w:rsidDel="00000000" w:rsidP="00000000" w:rsidRDefault="00000000" w:rsidRPr="00000000" w14:paraId="0000008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Chair appointments are reviewed annually by the Operating Committee.</w:t>
      </w:r>
    </w:p>
    <w:p w:rsidR="00000000" w:rsidDel="00000000" w:rsidP="00000000" w:rsidRDefault="00000000" w:rsidRPr="00000000" w14:paraId="00000087">
      <w:pPr>
        <w:pStyle w:val="Heading1"/>
        <w:rPr/>
      </w:pPr>
      <w:r w:rsidDel="00000000" w:rsidR="00000000" w:rsidRPr="00000000">
        <w:rPr>
          <w:rtl w:val="0"/>
        </w:rPr>
        <w:t xml:space="preserve">10. Communications Practices</w:t>
      </w:r>
    </w:p>
    <w:p w:rsidR="00000000" w:rsidDel="00000000" w:rsidP="00000000" w:rsidRDefault="00000000" w:rsidRPr="00000000" w14:paraId="00000088">
      <w:pPr>
        <w:rPr/>
      </w:pPr>
      <w:r w:rsidDel="00000000" w:rsidR="00000000" w:rsidRPr="00000000">
        <w:rPr>
          <w:rtl w:val="0"/>
        </w:rPr>
        <w:t xml:space="preserve">In carrying out its work, the Subcommittee should:</w:t>
      </w:r>
    </w:p>
    <w:p w:rsidR="00000000" w:rsidDel="00000000" w:rsidP="00000000" w:rsidRDefault="00000000" w:rsidRPr="00000000" w14:paraId="0000008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Use clear, accurate, respectful, and accessible language.</w:t>
      </w:r>
    </w:p>
    <w:p w:rsidR="00000000" w:rsidDel="00000000" w:rsidP="00000000" w:rsidRDefault="00000000" w:rsidRPr="00000000" w14:paraId="0000008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Respect A.A. anonymity at the public level and avoid publishing personal information without proper authorization.</w:t>
      </w:r>
    </w:p>
    <w:p w:rsidR="00000000" w:rsidDel="00000000" w:rsidP="00000000" w:rsidRDefault="00000000" w:rsidRPr="00000000" w14:paraId="0000008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Use only approved accounts, systems, and access credentials for GTAI communications work.</w:t>
      </w:r>
    </w:p>
    <w:p w:rsidR="00000000" w:rsidDel="00000000" w:rsidP="00000000" w:rsidRDefault="00000000" w:rsidRPr="00000000" w14:paraId="0000008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Store and transfer records, website access, newsletter materials, and other communications assets in a manner that supports continuity and protects GTAI information.</w:t>
      </w:r>
    </w:p>
    <w:p w:rsidR="00000000" w:rsidDel="00000000" w:rsidP="00000000" w:rsidRDefault="00000000" w:rsidRPr="00000000" w14:paraId="0000008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0" w:line="276" w:lineRule="auto"/>
        <w:ind w:left="360" w:right="0" w:hanging="360"/>
        <w:jc w:val="left"/>
        <w:rPr>
          <w:b w:val="0"/>
          <w:bCs w:val="0"/>
          <w:i w:val="0"/>
          <w:iCs w:val="0"/>
          <w:smallCaps w:val="0"/>
          <w:strike w:val="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Refer requests outside the Subcommittee's authority to the appropriate GTAI or A.A. service entity.</w:t>
      </w:r>
    </w:p>
    <w:p w:rsidR="00000000" w:rsidDel="00000000" w:rsidP="00000000" w:rsidRDefault="00000000" w:rsidRPr="00000000" w14:paraId="0000008E">
      <w:pPr>
        <w:pStyle w:val="Heading3"/>
        <w:numPr>
          <w:ilvl w:val="0"/>
          <w:numId w:val="1"/>
        </w:numPr>
        <w:ind w:left="360" w:hanging="360"/>
        <w:rPr/>
      </w:pPr>
      <w:r w:rsidDel="00000000" w:rsidR="00000000" w:rsidRPr="00000000">
        <w:rPr>
          <w:rFonts w:ascii="Arial" w:cs="Arial" w:eastAsia="Arial" w:hAnsi="Arial"/>
          <w:b w:val="0"/>
          <w:bCs w:val="0"/>
          <w:color w:val="000000"/>
          <w:rtl w:val="0"/>
        </w:rPr>
        <w:t xml:space="preserve">Respectful Communication: Members, volunteers, staff, and trusted servants serving GTA Intergroup are entitled to carry out their service in a respectful environment and are not expected to tolerate abusive, threatening, harassing, discriminatory, or personally insulting behaviour, whether by telephone, email, or other forms of communication.  Where a communication becomes abusive or inappropriate, the person receiving it may respectfully end the telephone call or discontinue the email exchange and refer the matter to the Communications Chair, GTA Intergroup Office, or other appropriate GTAI authority.  Setting a boundary around abusive behaviour does not prevent GTA Intergroup from responding to legitimate questions, concerns, complaints, or criticism. The goal is to remain helpful and respectful while recognizing that service does not require anyone to accept mistreatment.</w:t>
      </w:r>
      <w:r w:rsidDel="00000000" w:rsidR="00000000" w:rsidRPr="00000000">
        <w:rPr>
          <w:rtl w:val="0"/>
        </w:rPr>
      </w:r>
    </w:p>
    <w:p w:rsidR="00000000" w:rsidDel="00000000" w:rsidP="00000000" w:rsidRDefault="00000000" w:rsidRPr="00000000" w14:paraId="0000008F">
      <w:pPr>
        <w:pStyle w:val="Heading3"/>
        <w:ind w:left="0" w:firstLine="0"/>
        <w:rPr/>
      </w:pPr>
      <w:r w:rsidDel="00000000" w:rsidR="00000000" w:rsidRPr="00000000">
        <w:rPr>
          <w:sz w:val="30"/>
          <w:szCs w:val="30"/>
          <w:rtl w:val="0"/>
        </w:rPr>
        <w:t xml:space="preserve">11. Meeting Listing Updates</w:t>
      </w: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All meeting listing submissions and changes will now be submitted through the designated forms available on the GTA Intergroup website. Submissions will be identified as either a </w:t>
      </w: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New Meeting</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or an </w:t>
      </w: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Update to an Existing Meeting</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Using these forms will help ensure that complete and consistent information is received and that each meeting listing includes at least one current group contact. This contact information will also assist the Twelfth Step Committee and Communications Committee in verifying meeting details when information received through the helpline or other sources conflicts with what is published on the website.</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For example, if a caller advises a helpline volunteer that they have attempted to attend a meeting listed on the GTAI website on two consecutive occasions and the meeting did not take place, the Twelfth Step Committee will have a group contact who can be reached to confirm the meeting’s current status.</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This process will help keep GTAI meeting information accurate and up to date while providing a clear method for verifying information when discrepancies are reported.</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95">
      <w:pPr>
        <w:pStyle w:val="Heading1"/>
        <w:rPr/>
      </w:pPr>
      <w:r w:rsidDel="00000000" w:rsidR="00000000" w:rsidRPr="00000000">
        <w:rPr>
          <w:rtl w:val="0"/>
        </w:rPr>
        <w:t xml:space="preserve">12. Review and Amendment</w:t>
      </w:r>
    </w:p>
    <w:p w:rsidR="00000000" w:rsidDel="00000000" w:rsidP="00000000" w:rsidRDefault="00000000" w:rsidRPr="00000000" w14:paraId="00000096">
      <w:pPr>
        <w:rPr/>
      </w:pPr>
      <w:r w:rsidDel="00000000" w:rsidR="00000000" w:rsidRPr="00000000">
        <w:rPr>
          <w:rtl w:val="0"/>
        </w:rPr>
        <w:t xml:space="preserve">These Operating Procedures and Guidelines should be reviewed annually, or sooner if GTAI Operating Procedures, Operating Committee policies, technology, or the Subcommittee's responsibilities change. Proposed amendments should be reviewed by the Communications Subcommittee and submitted to the appropriate GTAI authority for approval before taking effect.</w:t>
      </w:r>
    </w:p>
    <w:p w:rsidR="00000000" w:rsidDel="00000000" w:rsidP="00000000" w:rsidRDefault="00000000" w:rsidRPr="00000000" w14:paraId="00000097">
      <w:pPr>
        <w:pStyle w:val="Heading1"/>
        <w:rPr/>
      </w:pPr>
      <w:r w:rsidDel="00000000" w:rsidR="00000000" w:rsidRPr="00000000">
        <w:rPr>
          <w:rtl w:val="0"/>
        </w:rPr>
        <w:t xml:space="preserve">13. Adoption Record</w:t>
      </w:r>
    </w:p>
    <w:tbl>
      <w:tblPr>
        <w:tblStyle w:val="Table2"/>
        <w:tblW w:w="993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68"/>
        <w:gridCol w:w="4968"/>
        <w:tblGridChange w:id="0">
          <w:tblGrid>
            <w:gridCol w:w="4968"/>
            <w:gridCol w:w="4968"/>
          </w:tblGrid>
        </w:tblGridChange>
      </w:tblGrid>
      <w:tr>
        <w:trPr>
          <w:cantSplit w:val="0"/>
          <w:tblHeader w:val="0"/>
        </w:trPr>
        <w:tc>
          <w:tcPr/>
          <w:p w:rsidR="00000000" w:rsidDel="00000000" w:rsidP="00000000" w:rsidRDefault="00000000" w:rsidRPr="00000000" w14:paraId="00000098">
            <w:pPr>
              <w:widowControl w:val="1"/>
              <w:spacing w:after="100" w:before="0" w:line="240" w:lineRule="auto"/>
              <w:rPr/>
            </w:pPr>
            <w:r w:rsidDel="00000000" w:rsidR="00000000" w:rsidRPr="00000000">
              <w:rPr>
                <w:b w:val="1"/>
                <w:bCs w:val="1"/>
                <w:rtl w:val="0"/>
              </w:rPr>
              <w:t xml:space="preserve">Approved by</w:t>
            </w:r>
            <w:r w:rsidDel="00000000" w:rsidR="00000000" w:rsidRPr="00000000">
              <w:rPr>
                <w:rtl w:val="0"/>
              </w:rPr>
            </w:r>
          </w:p>
        </w:tc>
        <w:tc>
          <w:tcPr/>
          <w:p w:rsidR="00000000" w:rsidDel="00000000" w:rsidP="00000000" w:rsidRDefault="00000000" w:rsidRPr="00000000" w14:paraId="00000099">
            <w:pPr>
              <w:widowControl w:val="1"/>
              <w:spacing w:after="100" w:before="0" w:line="240" w:lineRule="auto"/>
              <w:rPr/>
            </w:pPr>
            <w:r w:rsidDel="00000000" w:rsidR="00000000" w:rsidRPr="00000000">
              <w:rPr>
                <w:rtl w:val="0"/>
              </w:rPr>
              <w:t xml:space="preserve">Operating Committee &amp; Communications Chair – Lisa M 2026/09/02</w:t>
            </w:r>
          </w:p>
        </w:tc>
      </w:tr>
      <w:tr>
        <w:trPr>
          <w:cantSplit w:val="0"/>
          <w:tblHeader w:val="0"/>
        </w:trPr>
        <w:tc>
          <w:tcPr/>
          <w:p w:rsidR="00000000" w:rsidDel="00000000" w:rsidP="00000000" w:rsidRDefault="00000000" w:rsidRPr="00000000" w14:paraId="0000009A">
            <w:pPr>
              <w:widowControl w:val="1"/>
              <w:spacing w:after="100" w:before="0" w:line="240" w:lineRule="auto"/>
              <w:rPr/>
            </w:pPr>
            <w:r w:rsidDel="00000000" w:rsidR="00000000" w:rsidRPr="00000000">
              <w:rPr>
                <w:b w:val="1"/>
                <w:bCs w:val="1"/>
                <w:rtl w:val="0"/>
              </w:rPr>
              <w:t xml:space="preserve">Approved by GTAI Committee representative</w:t>
            </w:r>
            <w:r w:rsidDel="00000000" w:rsidR="00000000" w:rsidRPr="00000000">
              <w:rPr>
                <w:rtl w:val="0"/>
              </w:rPr>
            </w:r>
          </w:p>
        </w:tc>
        <w:tc>
          <w:tcPr/>
          <w:p w:rsidR="00000000" w:rsidDel="00000000" w:rsidP="00000000" w:rsidRDefault="00000000" w:rsidRPr="00000000" w14:paraId="0000009B">
            <w:pPr>
              <w:spacing w:after="100" w:lineRule="auto"/>
              <w:rPr/>
            </w:pPr>
            <w:r w:rsidDel="00000000" w:rsidR="00000000" w:rsidRPr="00000000">
              <w:rPr>
                <w:rtl w:val="0"/>
              </w:rPr>
              <w:t xml:space="preserve">Operating Chair Jimmy S.</w:t>
            </w:r>
          </w:p>
        </w:tc>
      </w:tr>
      <w:tr>
        <w:trPr>
          <w:cantSplit w:val="0"/>
          <w:tblHeader w:val="0"/>
        </w:trPr>
        <w:tc>
          <w:tcPr/>
          <w:p w:rsidR="00000000" w:rsidDel="00000000" w:rsidP="00000000" w:rsidRDefault="00000000" w:rsidRPr="00000000" w14:paraId="0000009C">
            <w:pPr>
              <w:widowControl w:val="1"/>
              <w:spacing w:after="100" w:before="0" w:line="240" w:lineRule="auto"/>
              <w:rPr/>
            </w:pPr>
            <w:r w:rsidDel="00000000" w:rsidR="00000000" w:rsidRPr="00000000">
              <w:rPr>
                <w:b w:val="1"/>
                <w:bCs w:val="1"/>
                <w:rtl w:val="0"/>
              </w:rPr>
              <w:t xml:space="preserve">Effective date</w:t>
            </w:r>
            <w:r w:rsidDel="00000000" w:rsidR="00000000" w:rsidRPr="00000000">
              <w:rPr>
                <w:rtl w:val="0"/>
              </w:rPr>
            </w:r>
          </w:p>
        </w:tc>
        <w:tc>
          <w:tcPr/>
          <w:p w:rsidR="00000000" w:rsidDel="00000000" w:rsidP="00000000" w:rsidRDefault="00000000" w:rsidRPr="00000000" w14:paraId="0000009D">
            <w:pPr>
              <w:widowControl w:val="1"/>
              <w:spacing w:after="100" w:before="0" w:line="240" w:lineRule="auto"/>
              <w:rPr/>
            </w:pPr>
            <w:r w:rsidDel="00000000" w:rsidR="00000000" w:rsidRPr="00000000">
              <w:rPr>
                <w:rtl w:val="0"/>
              </w:rPr>
              <w:t xml:space="preserve">Sep 2, 2026</w:t>
            </w:r>
            <w:r w:rsidDel="00000000" w:rsidR="00000000" w:rsidRPr="00000000">
              <w:rPr>
                <w:rtl w:val="0"/>
              </w:rPr>
            </w:r>
          </w:p>
        </w:tc>
      </w:tr>
      <w:tr>
        <w:trPr>
          <w:cantSplit w:val="0"/>
          <w:tblHeader w:val="0"/>
        </w:trPr>
        <w:tc>
          <w:tcPr/>
          <w:p w:rsidR="00000000" w:rsidDel="00000000" w:rsidP="00000000" w:rsidRDefault="00000000" w:rsidRPr="00000000" w14:paraId="0000009E">
            <w:pPr>
              <w:widowControl w:val="1"/>
              <w:spacing w:after="100" w:before="0" w:line="240" w:lineRule="auto"/>
              <w:rPr/>
            </w:pPr>
            <w:r w:rsidDel="00000000" w:rsidR="00000000" w:rsidRPr="00000000">
              <w:rPr>
                <w:b w:val="1"/>
                <w:bCs w:val="1"/>
                <w:rtl w:val="0"/>
              </w:rPr>
              <w:t xml:space="preserve">Next scheduled review</w:t>
            </w:r>
            <w:r w:rsidDel="00000000" w:rsidR="00000000" w:rsidRPr="00000000">
              <w:rPr>
                <w:rtl w:val="0"/>
              </w:rPr>
            </w:r>
          </w:p>
        </w:tc>
        <w:tc>
          <w:tcPr/>
          <w:p w:rsidR="00000000" w:rsidDel="00000000" w:rsidP="00000000" w:rsidRDefault="00000000" w:rsidRPr="00000000" w14:paraId="0000009F">
            <w:pPr>
              <w:widowControl w:val="1"/>
              <w:spacing w:after="100" w:before="0" w:line="240" w:lineRule="auto"/>
              <w:rPr/>
            </w:pPr>
            <w:r w:rsidDel="00000000" w:rsidR="00000000" w:rsidRPr="00000000">
              <w:rPr>
                <w:rtl w:val="0"/>
              </w:rPr>
              <w:t xml:space="preserve">Sep 2, 2028</w:t>
            </w:r>
          </w:p>
        </w:tc>
      </w:tr>
    </w:tbl>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sectPr>
      <w:footerReference r:id="rId9" w:type="default"/>
      <w:footerReference r:id="rId10" w:type="first"/>
      <w:footerReference r:id="rId11" w:type="even"/>
      <w:pgSz w:h="15840" w:w="12240" w:orient="portrait"/>
      <w:pgMar w:bottom="1008" w:top="1008" w:left="1152" w:right="1152"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GTAI Communications Subcommittee - Operating Procedures and Guidelines - Draft 2</w:t>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GTAI Communications Subcommittee - Operating Procedures and Guidelines - Draft 2</w:t>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color w:val="000000"/>
      </w:rPr>
    </w:lvl>
    <w:lvl w:ilvl="1">
      <w:start w:val="1"/>
      <w:numFmt w:val="decimal"/>
      <w:lvlText w:val="%2."/>
      <w:lvlJc w:val="left"/>
      <w:pPr>
        <w:ind w:left="1080" w:hanging="360"/>
      </w:pPr>
      <w:rPr/>
    </w:lvl>
    <w:lvl w:ilvl="2">
      <w:start w:val="1"/>
      <w:numFmt w:val="decimal"/>
      <w:lvlText w:val="%3."/>
      <w:lvlJc w:val="left"/>
      <w:pPr>
        <w:ind w:left="1440" w:hanging="360"/>
      </w:pPr>
      <w:rPr/>
    </w:lvl>
    <w:lvl w:ilvl="3">
      <w:start w:val="1"/>
      <w:numFmt w:val="decimal"/>
      <w:lvlText w:val="%4."/>
      <w:lvlJc w:val="left"/>
      <w:pPr>
        <w:ind w:left="1800" w:hanging="360"/>
      </w:pPr>
      <w:rPr/>
    </w:lvl>
    <w:lvl w:ilvl="4">
      <w:start w:val="1"/>
      <w:numFmt w:val="decimal"/>
      <w:lvlText w:val="%5."/>
      <w:lvlJc w:val="left"/>
      <w:pPr>
        <w:ind w:left="2160" w:hanging="360"/>
      </w:pPr>
      <w:rPr/>
    </w:lvl>
    <w:lvl w:ilvl="5">
      <w:start w:val="1"/>
      <w:numFmt w:val="decimal"/>
      <w:lvlText w:val="%6."/>
      <w:lvlJc w:val="left"/>
      <w:pPr>
        <w:ind w:left="2520" w:hanging="360"/>
      </w:pPr>
      <w:rPr/>
    </w:lvl>
    <w:lvl w:ilvl="6">
      <w:start w:val="1"/>
      <w:numFmt w:val="decimal"/>
      <w:lvlText w:val="%7."/>
      <w:lvlJc w:val="left"/>
      <w:pPr>
        <w:ind w:left="2880" w:hanging="360"/>
      </w:pPr>
      <w:rPr/>
    </w:lvl>
    <w:lvl w:ilvl="7">
      <w:start w:val="1"/>
      <w:numFmt w:val="decimal"/>
      <w:lvlText w:val="%8."/>
      <w:lvlJc w:val="left"/>
      <w:pPr>
        <w:ind w:left="3240" w:hanging="360"/>
      </w:pPr>
      <w:rPr/>
    </w:lvl>
    <w:lvl w:ilvl="8">
      <w:start w:val="1"/>
      <w:numFmt w:val="decimal"/>
      <w:lvlText w:val="%9."/>
      <w:lvlJc w:val="left"/>
      <w:pPr>
        <w:ind w:left="3600" w:hanging="360"/>
      </w:pPr>
      <w:rPr/>
    </w:lvl>
  </w:abstractNum>
  <w:abstractNum w:abstractNumId="2">
    <w:lvl w:ilvl="0">
      <w:start w:val="1"/>
      <w:numFmt w:val="bullet"/>
      <w:lvlText w:val="●"/>
      <w:lvlJc w:val="left"/>
      <w:pPr>
        <w:ind w:left="720" w:hanging="283"/>
      </w:pPr>
      <w:rPr>
        <w:rFonts w:ascii="Noto Sans Symbols" w:cs="Noto Sans Symbols" w:eastAsia="Noto Sans Symbols" w:hAnsi="Noto Sans Symbols"/>
      </w:rPr>
    </w:lvl>
    <w:lvl w:ilvl="1">
      <w:start w:val="1"/>
      <w:numFmt w:val="decimal"/>
      <w:lvlText w:val="%2."/>
      <w:lvlJc w:val="left"/>
      <w:pPr>
        <w:ind w:left="1080" w:hanging="360"/>
      </w:pPr>
      <w:rPr/>
    </w:lvl>
    <w:lvl w:ilvl="2">
      <w:start w:val="1"/>
      <w:numFmt w:val="decimal"/>
      <w:lvlText w:val="%3."/>
      <w:lvlJc w:val="left"/>
      <w:pPr>
        <w:ind w:left="1440" w:hanging="360"/>
      </w:pPr>
      <w:rPr/>
    </w:lvl>
    <w:lvl w:ilvl="3">
      <w:start w:val="1"/>
      <w:numFmt w:val="decimal"/>
      <w:lvlText w:val="%4."/>
      <w:lvlJc w:val="left"/>
      <w:pPr>
        <w:ind w:left="1800" w:hanging="360"/>
      </w:pPr>
      <w:rPr/>
    </w:lvl>
    <w:lvl w:ilvl="4">
      <w:start w:val="1"/>
      <w:numFmt w:val="decimal"/>
      <w:lvlText w:val="%5."/>
      <w:lvlJc w:val="left"/>
      <w:pPr>
        <w:ind w:left="2160" w:hanging="360"/>
      </w:pPr>
      <w:rPr/>
    </w:lvl>
    <w:lvl w:ilvl="5">
      <w:start w:val="1"/>
      <w:numFmt w:val="decimal"/>
      <w:lvlText w:val="%6."/>
      <w:lvlJc w:val="left"/>
      <w:pPr>
        <w:ind w:left="2520" w:hanging="360"/>
      </w:pPr>
      <w:rPr/>
    </w:lvl>
    <w:lvl w:ilvl="6">
      <w:start w:val="1"/>
      <w:numFmt w:val="decimal"/>
      <w:lvlText w:val="%7."/>
      <w:lvlJc w:val="left"/>
      <w:pPr>
        <w:ind w:left="2880" w:hanging="360"/>
      </w:pPr>
      <w:rPr/>
    </w:lvl>
    <w:lvl w:ilvl="7">
      <w:start w:val="1"/>
      <w:numFmt w:val="decimal"/>
      <w:lvlText w:val="%8."/>
      <w:lvlJc w:val="left"/>
      <w:pPr>
        <w:ind w:left="3240" w:hanging="360"/>
      </w:pPr>
      <w:rPr/>
    </w:lvl>
    <w:lvl w:ilvl="8">
      <w:start w:val="1"/>
      <w:numFmt w:val="decimal"/>
      <w:lvlText w:val="%9."/>
      <w:lvlJc w:val="left"/>
      <w:pPr>
        <w:ind w:left="3600" w:hanging="360"/>
      </w:pPr>
      <w:rPr/>
    </w:lvl>
  </w:abstractNum>
  <w:abstractNum w:abstractNumId="3">
    <w:lvl w:ilvl="0">
      <w:start w:val="1"/>
      <w:numFmt w:val="bullet"/>
      <w:lvlText w:val="●"/>
      <w:lvlJc w:val="left"/>
      <w:pPr>
        <w:ind w:left="720" w:hanging="283"/>
      </w:pPr>
      <w:rPr>
        <w:rFonts w:ascii="Noto Sans Symbols" w:cs="Noto Sans Symbols" w:eastAsia="Noto Sans Symbols" w:hAnsi="Noto Sans Symbols"/>
      </w:rPr>
    </w:lvl>
    <w:lvl w:ilvl="1">
      <w:start w:val="1"/>
      <w:numFmt w:val="decimal"/>
      <w:lvlText w:val="%2."/>
      <w:lvlJc w:val="left"/>
      <w:pPr>
        <w:ind w:left="1080" w:hanging="360"/>
      </w:pPr>
      <w:rPr/>
    </w:lvl>
    <w:lvl w:ilvl="2">
      <w:start w:val="1"/>
      <w:numFmt w:val="decimal"/>
      <w:lvlText w:val="%3."/>
      <w:lvlJc w:val="left"/>
      <w:pPr>
        <w:ind w:left="1440" w:hanging="360"/>
      </w:pPr>
      <w:rPr/>
    </w:lvl>
    <w:lvl w:ilvl="3">
      <w:start w:val="1"/>
      <w:numFmt w:val="decimal"/>
      <w:lvlText w:val="%4."/>
      <w:lvlJc w:val="left"/>
      <w:pPr>
        <w:ind w:left="1800" w:hanging="360"/>
      </w:pPr>
      <w:rPr/>
    </w:lvl>
    <w:lvl w:ilvl="4">
      <w:start w:val="1"/>
      <w:numFmt w:val="decimal"/>
      <w:lvlText w:val="%5."/>
      <w:lvlJc w:val="left"/>
      <w:pPr>
        <w:ind w:left="2160" w:hanging="360"/>
      </w:pPr>
      <w:rPr/>
    </w:lvl>
    <w:lvl w:ilvl="5">
      <w:start w:val="1"/>
      <w:numFmt w:val="decimal"/>
      <w:lvlText w:val="%6."/>
      <w:lvlJc w:val="left"/>
      <w:pPr>
        <w:ind w:left="2520" w:hanging="360"/>
      </w:pPr>
      <w:rPr/>
    </w:lvl>
    <w:lvl w:ilvl="6">
      <w:start w:val="1"/>
      <w:numFmt w:val="decimal"/>
      <w:lvlText w:val="%7."/>
      <w:lvlJc w:val="left"/>
      <w:pPr>
        <w:ind w:left="2880" w:hanging="360"/>
      </w:pPr>
      <w:rPr/>
    </w:lvl>
    <w:lvl w:ilvl="7">
      <w:start w:val="1"/>
      <w:numFmt w:val="decimal"/>
      <w:lvlText w:val="%8."/>
      <w:lvlJc w:val="left"/>
      <w:pPr>
        <w:ind w:left="3240" w:hanging="360"/>
      </w:pPr>
      <w:rPr/>
    </w:lvl>
    <w:lvl w:ilvl="8">
      <w:start w:val="1"/>
      <w:numFmt w:val="decimal"/>
      <w:lvlText w:val="%9."/>
      <w:lvlJc w:val="left"/>
      <w:pPr>
        <w:ind w:left="3600" w:hanging="360"/>
      </w:pPr>
      <w:rPr/>
    </w:lvl>
  </w:abstractNum>
  <w:abstractNum w:abstractNumId="4">
    <w:lvl w:ilvl="0">
      <w:start w:val="1"/>
      <w:numFmt w:val="bullet"/>
      <w:lvlText w:val="●"/>
      <w:lvlJc w:val="left"/>
      <w:pPr>
        <w:ind w:left="720" w:hanging="283"/>
      </w:pPr>
      <w:rPr>
        <w:rFonts w:ascii="Noto Sans Symbols" w:cs="Noto Sans Symbols" w:eastAsia="Noto Sans Symbols" w:hAnsi="Noto Sans Symbols"/>
      </w:rPr>
    </w:lvl>
    <w:lvl w:ilvl="1">
      <w:start w:val="1"/>
      <w:numFmt w:val="decimal"/>
      <w:lvlText w:val="%2."/>
      <w:lvlJc w:val="left"/>
      <w:pPr>
        <w:ind w:left="1080" w:hanging="360"/>
      </w:pPr>
      <w:rPr/>
    </w:lvl>
    <w:lvl w:ilvl="2">
      <w:start w:val="1"/>
      <w:numFmt w:val="decimal"/>
      <w:lvlText w:val="%3."/>
      <w:lvlJc w:val="left"/>
      <w:pPr>
        <w:ind w:left="1440" w:hanging="360"/>
      </w:pPr>
      <w:rPr/>
    </w:lvl>
    <w:lvl w:ilvl="3">
      <w:start w:val="1"/>
      <w:numFmt w:val="decimal"/>
      <w:lvlText w:val="%4."/>
      <w:lvlJc w:val="left"/>
      <w:pPr>
        <w:ind w:left="1800" w:hanging="360"/>
      </w:pPr>
      <w:rPr/>
    </w:lvl>
    <w:lvl w:ilvl="4">
      <w:start w:val="1"/>
      <w:numFmt w:val="decimal"/>
      <w:lvlText w:val="%5."/>
      <w:lvlJc w:val="left"/>
      <w:pPr>
        <w:ind w:left="2160" w:hanging="360"/>
      </w:pPr>
      <w:rPr/>
    </w:lvl>
    <w:lvl w:ilvl="5">
      <w:start w:val="1"/>
      <w:numFmt w:val="decimal"/>
      <w:lvlText w:val="%6."/>
      <w:lvlJc w:val="left"/>
      <w:pPr>
        <w:ind w:left="2520" w:hanging="360"/>
      </w:pPr>
      <w:rPr/>
    </w:lvl>
    <w:lvl w:ilvl="6">
      <w:start w:val="1"/>
      <w:numFmt w:val="decimal"/>
      <w:lvlText w:val="%7."/>
      <w:lvlJc w:val="left"/>
      <w:pPr>
        <w:ind w:left="2880" w:hanging="360"/>
      </w:pPr>
      <w:rPr/>
    </w:lvl>
    <w:lvl w:ilvl="7">
      <w:start w:val="1"/>
      <w:numFmt w:val="decimal"/>
      <w:lvlText w:val="%8."/>
      <w:lvlJc w:val="left"/>
      <w:pPr>
        <w:ind w:left="3240" w:hanging="360"/>
      </w:pPr>
      <w:rPr/>
    </w:lvl>
    <w:lvl w:ilvl="8">
      <w:start w:val="1"/>
      <w:numFmt w:val="decimal"/>
      <w:lvlText w:val="%9."/>
      <w:lvlJc w:val="left"/>
      <w:pPr>
        <w:ind w:left="3600" w:hanging="360"/>
      </w:pPr>
      <w:rPr/>
    </w:lvl>
  </w:abstractNum>
  <w:abstractNum w:abstractNumId="5">
    <w:lvl w:ilvl="0">
      <w:start w:val="1"/>
      <w:numFmt w:val="bullet"/>
      <w:lvlText w:val="●"/>
      <w:lvlJc w:val="left"/>
      <w:pPr>
        <w:ind w:left="720" w:hanging="283"/>
      </w:pPr>
      <w:rPr>
        <w:rFonts w:ascii="Noto Sans Symbols" w:cs="Noto Sans Symbols" w:eastAsia="Noto Sans Symbols" w:hAnsi="Noto Sans Symbols"/>
      </w:rPr>
    </w:lvl>
    <w:lvl w:ilvl="1">
      <w:start w:val="1"/>
      <w:numFmt w:val="decimal"/>
      <w:lvlText w:val="%2."/>
      <w:lvlJc w:val="left"/>
      <w:pPr>
        <w:ind w:left="1080" w:hanging="360"/>
      </w:pPr>
      <w:rPr/>
    </w:lvl>
    <w:lvl w:ilvl="2">
      <w:start w:val="1"/>
      <w:numFmt w:val="decimal"/>
      <w:lvlText w:val="%3."/>
      <w:lvlJc w:val="left"/>
      <w:pPr>
        <w:ind w:left="1440" w:hanging="360"/>
      </w:pPr>
      <w:rPr/>
    </w:lvl>
    <w:lvl w:ilvl="3">
      <w:start w:val="1"/>
      <w:numFmt w:val="decimal"/>
      <w:lvlText w:val="%4."/>
      <w:lvlJc w:val="left"/>
      <w:pPr>
        <w:ind w:left="1800" w:hanging="360"/>
      </w:pPr>
      <w:rPr/>
    </w:lvl>
    <w:lvl w:ilvl="4">
      <w:start w:val="1"/>
      <w:numFmt w:val="decimal"/>
      <w:lvlText w:val="%5."/>
      <w:lvlJc w:val="left"/>
      <w:pPr>
        <w:ind w:left="2160" w:hanging="360"/>
      </w:pPr>
      <w:rPr/>
    </w:lvl>
    <w:lvl w:ilvl="5">
      <w:start w:val="1"/>
      <w:numFmt w:val="decimal"/>
      <w:lvlText w:val="%6."/>
      <w:lvlJc w:val="left"/>
      <w:pPr>
        <w:ind w:left="2520" w:hanging="360"/>
      </w:pPr>
      <w:rPr/>
    </w:lvl>
    <w:lvl w:ilvl="6">
      <w:start w:val="1"/>
      <w:numFmt w:val="decimal"/>
      <w:lvlText w:val="%7."/>
      <w:lvlJc w:val="left"/>
      <w:pPr>
        <w:ind w:left="2880" w:hanging="360"/>
      </w:pPr>
      <w:rPr/>
    </w:lvl>
    <w:lvl w:ilvl="7">
      <w:start w:val="1"/>
      <w:numFmt w:val="decimal"/>
      <w:lvlText w:val="%8."/>
      <w:lvlJc w:val="left"/>
      <w:pPr>
        <w:ind w:left="3240" w:hanging="360"/>
      </w:pPr>
      <w:rPr/>
    </w:lvl>
    <w:lvl w:ilvl="8">
      <w:start w:val="1"/>
      <w:numFmt w:val="decimal"/>
      <w:lvlText w:val="%9."/>
      <w:lvlJc w:val="left"/>
      <w:pPr>
        <w:ind w:left="3600" w:hanging="360"/>
      </w:pPr>
      <w:rPr/>
    </w:lvl>
  </w:abstractNum>
  <w:abstractNum w:abstractNumId="6">
    <w:lvl w:ilvl="0">
      <w:start w:val="1"/>
      <w:numFmt w:val="bullet"/>
      <w:lvlText w:val="●"/>
      <w:lvlJc w:val="left"/>
      <w:pPr>
        <w:ind w:left="720" w:hanging="283"/>
      </w:pPr>
      <w:rPr>
        <w:rFonts w:ascii="Noto Sans Symbols" w:cs="Noto Sans Symbols" w:eastAsia="Noto Sans Symbols" w:hAnsi="Noto Sans Symbols"/>
      </w:rPr>
    </w:lvl>
    <w:lvl w:ilvl="1">
      <w:start w:val="1"/>
      <w:numFmt w:val="decimal"/>
      <w:lvlText w:val="%2."/>
      <w:lvlJc w:val="left"/>
      <w:pPr>
        <w:ind w:left="1080" w:hanging="360"/>
      </w:pPr>
      <w:rPr/>
    </w:lvl>
    <w:lvl w:ilvl="2">
      <w:start w:val="1"/>
      <w:numFmt w:val="decimal"/>
      <w:lvlText w:val="%3."/>
      <w:lvlJc w:val="left"/>
      <w:pPr>
        <w:ind w:left="1440" w:hanging="360"/>
      </w:pPr>
      <w:rPr/>
    </w:lvl>
    <w:lvl w:ilvl="3">
      <w:start w:val="1"/>
      <w:numFmt w:val="decimal"/>
      <w:lvlText w:val="%4."/>
      <w:lvlJc w:val="left"/>
      <w:pPr>
        <w:ind w:left="1800" w:hanging="360"/>
      </w:pPr>
      <w:rPr/>
    </w:lvl>
    <w:lvl w:ilvl="4">
      <w:start w:val="1"/>
      <w:numFmt w:val="decimal"/>
      <w:lvlText w:val="%5."/>
      <w:lvlJc w:val="left"/>
      <w:pPr>
        <w:ind w:left="2160" w:hanging="360"/>
      </w:pPr>
      <w:rPr/>
    </w:lvl>
    <w:lvl w:ilvl="5">
      <w:start w:val="1"/>
      <w:numFmt w:val="decimal"/>
      <w:lvlText w:val="%6."/>
      <w:lvlJc w:val="left"/>
      <w:pPr>
        <w:ind w:left="2520" w:hanging="360"/>
      </w:pPr>
      <w:rPr/>
    </w:lvl>
    <w:lvl w:ilvl="6">
      <w:start w:val="1"/>
      <w:numFmt w:val="decimal"/>
      <w:lvlText w:val="%7."/>
      <w:lvlJc w:val="left"/>
      <w:pPr>
        <w:ind w:left="2880" w:hanging="360"/>
      </w:pPr>
      <w:rPr/>
    </w:lvl>
    <w:lvl w:ilvl="7">
      <w:start w:val="1"/>
      <w:numFmt w:val="decimal"/>
      <w:lvlText w:val="%8."/>
      <w:lvlJc w:val="left"/>
      <w:pPr>
        <w:ind w:left="3240" w:hanging="360"/>
      </w:pPr>
      <w:rPr/>
    </w:lvl>
    <w:lvl w:ilvl="8">
      <w:start w:val="1"/>
      <w:numFmt w:val="decimal"/>
      <w:lvlText w:val="%9."/>
      <w:lvlJc w:val="left"/>
      <w:pPr>
        <w:ind w:left="3600" w:hanging="360"/>
      </w:pPr>
      <w:rPr/>
    </w:lvl>
  </w:abstractNum>
  <w:abstractNum w:abstractNumId="7">
    <w:lvl w:ilvl="0">
      <w:start w:val="1"/>
      <w:numFmt w:val="bullet"/>
      <w:lvlText w:val="●"/>
      <w:lvlJc w:val="left"/>
      <w:pPr>
        <w:ind w:left="720" w:hanging="283"/>
      </w:pPr>
      <w:rPr>
        <w:rFonts w:ascii="Noto Sans Symbols" w:cs="Noto Sans Symbols" w:eastAsia="Noto Sans Symbols" w:hAnsi="Noto Sans Symbols"/>
      </w:rPr>
    </w:lvl>
    <w:lvl w:ilvl="1">
      <w:start w:val="1"/>
      <w:numFmt w:val="decimal"/>
      <w:lvlText w:val="%2."/>
      <w:lvlJc w:val="left"/>
      <w:pPr>
        <w:ind w:left="1080" w:hanging="360"/>
      </w:pPr>
      <w:rPr/>
    </w:lvl>
    <w:lvl w:ilvl="2">
      <w:start w:val="1"/>
      <w:numFmt w:val="decimal"/>
      <w:lvlText w:val="%3."/>
      <w:lvlJc w:val="left"/>
      <w:pPr>
        <w:ind w:left="1440" w:hanging="360"/>
      </w:pPr>
      <w:rPr/>
    </w:lvl>
    <w:lvl w:ilvl="3">
      <w:start w:val="1"/>
      <w:numFmt w:val="decimal"/>
      <w:lvlText w:val="%4."/>
      <w:lvlJc w:val="left"/>
      <w:pPr>
        <w:ind w:left="1800" w:hanging="360"/>
      </w:pPr>
      <w:rPr/>
    </w:lvl>
    <w:lvl w:ilvl="4">
      <w:start w:val="1"/>
      <w:numFmt w:val="decimal"/>
      <w:lvlText w:val="%5."/>
      <w:lvlJc w:val="left"/>
      <w:pPr>
        <w:ind w:left="2160" w:hanging="360"/>
      </w:pPr>
      <w:rPr/>
    </w:lvl>
    <w:lvl w:ilvl="5">
      <w:start w:val="1"/>
      <w:numFmt w:val="decimal"/>
      <w:lvlText w:val="%6."/>
      <w:lvlJc w:val="left"/>
      <w:pPr>
        <w:ind w:left="2520" w:hanging="360"/>
      </w:pPr>
      <w:rPr/>
    </w:lvl>
    <w:lvl w:ilvl="6">
      <w:start w:val="1"/>
      <w:numFmt w:val="decimal"/>
      <w:lvlText w:val="%7."/>
      <w:lvlJc w:val="left"/>
      <w:pPr>
        <w:ind w:left="2880" w:hanging="360"/>
      </w:pPr>
      <w:rPr/>
    </w:lvl>
    <w:lvl w:ilvl="7">
      <w:start w:val="1"/>
      <w:numFmt w:val="decimal"/>
      <w:lvlText w:val="%8."/>
      <w:lvlJc w:val="left"/>
      <w:pPr>
        <w:ind w:left="3240" w:hanging="360"/>
      </w:pPr>
      <w:rPr/>
    </w:lvl>
    <w:lvl w:ilvl="8">
      <w:start w:val="1"/>
      <w:numFmt w:val="decimal"/>
      <w:lvlText w:val="%9."/>
      <w:lvlJc w:val="left"/>
      <w:pPr>
        <w:ind w:left="3600" w:hanging="360"/>
      </w:pPr>
      <w:rPr/>
    </w:lvl>
  </w:abstractNum>
  <w:abstractNum w:abstractNumId="8">
    <w:lvl w:ilvl="0">
      <w:start w:val="1"/>
      <w:numFmt w:val="bullet"/>
      <w:lvlText w:val="●"/>
      <w:lvlJc w:val="left"/>
      <w:pPr>
        <w:ind w:left="720" w:hanging="283"/>
      </w:pPr>
      <w:rPr>
        <w:rFonts w:ascii="Noto Sans Symbols" w:cs="Noto Sans Symbols" w:eastAsia="Noto Sans Symbols" w:hAnsi="Noto Sans Symbols"/>
      </w:rPr>
    </w:lvl>
    <w:lvl w:ilvl="1">
      <w:start w:val="1"/>
      <w:numFmt w:val="decimal"/>
      <w:lvlText w:val="%2."/>
      <w:lvlJc w:val="left"/>
      <w:pPr>
        <w:ind w:left="1080" w:hanging="360"/>
      </w:pPr>
      <w:rPr/>
    </w:lvl>
    <w:lvl w:ilvl="2">
      <w:start w:val="1"/>
      <w:numFmt w:val="decimal"/>
      <w:lvlText w:val="%3."/>
      <w:lvlJc w:val="left"/>
      <w:pPr>
        <w:ind w:left="1440" w:hanging="360"/>
      </w:pPr>
      <w:rPr/>
    </w:lvl>
    <w:lvl w:ilvl="3">
      <w:start w:val="1"/>
      <w:numFmt w:val="decimal"/>
      <w:lvlText w:val="%4."/>
      <w:lvlJc w:val="left"/>
      <w:pPr>
        <w:ind w:left="1800" w:hanging="360"/>
      </w:pPr>
      <w:rPr/>
    </w:lvl>
    <w:lvl w:ilvl="4">
      <w:start w:val="1"/>
      <w:numFmt w:val="decimal"/>
      <w:lvlText w:val="%5."/>
      <w:lvlJc w:val="left"/>
      <w:pPr>
        <w:ind w:left="2160" w:hanging="360"/>
      </w:pPr>
      <w:rPr/>
    </w:lvl>
    <w:lvl w:ilvl="5">
      <w:start w:val="1"/>
      <w:numFmt w:val="decimal"/>
      <w:lvlText w:val="%6."/>
      <w:lvlJc w:val="left"/>
      <w:pPr>
        <w:ind w:left="2520" w:hanging="360"/>
      </w:pPr>
      <w:rPr/>
    </w:lvl>
    <w:lvl w:ilvl="6">
      <w:start w:val="1"/>
      <w:numFmt w:val="decimal"/>
      <w:lvlText w:val="%7."/>
      <w:lvlJc w:val="left"/>
      <w:pPr>
        <w:ind w:left="2880" w:hanging="360"/>
      </w:pPr>
      <w:rPr/>
    </w:lvl>
    <w:lvl w:ilvl="7">
      <w:start w:val="1"/>
      <w:numFmt w:val="decimal"/>
      <w:lvlText w:val="%8."/>
      <w:lvlJc w:val="left"/>
      <w:pPr>
        <w:ind w:left="3240" w:hanging="360"/>
      </w:pPr>
      <w:rPr/>
    </w:lvl>
    <w:lvl w:ilvl="8">
      <w:start w:val="1"/>
      <w:numFmt w:val="decimal"/>
      <w:lvlText w:val="%9."/>
      <w:lvlJc w:val="left"/>
      <w:pPr>
        <w:ind w:left="3600" w:hanging="360"/>
      </w:pPr>
      <w:rPr/>
    </w:lvl>
  </w:abstractNum>
  <w:abstractNum w:abstractNumId="9">
    <w:lvl w:ilvl="0">
      <w:start w:val="1"/>
      <w:numFmt w:val="bullet"/>
      <w:lvlText w:val="●"/>
      <w:lvlJc w:val="left"/>
      <w:pPr>
        <w:ind w:left="720" w:hanging="283"/>
      </w:pPr>
      <w:rPr>
        <w:rFonts w:ascii="Noto Sans Symbols" w:cs="Noto Sans Symbols" w:eastAsia="Noto Sans Symbols" w:hAnsi="Noto Sans Symbols"/>
      </w:rPr>
    </w:lvl>
    <w:lvl w:ilvl="1">
      <w:start w:val="1"/>
      <w:numFmt w:val="bullet"/>
      <w:lvlText w:val="○"/>
      <w:lvlJc w:val="left"/>
      <w:pPr>
        <w:ind w:left="1080" w:hanging="360"/>
      </w:pPr>
      <w:rPr/>
    </w:lvl>
    <w:lvl w:ilvl="2">
      <w:start w:val="1"/>
      <w:numFmt w:val="bullet"/>
      <w:lvlText w:val="■"/>
      <w:lvlJc w:val="left"/>
      <w:pPr>
        <w:ind w:left="1440" w:hanging="360"/>
      </w:pPr>
      <w:rPr/>
    </w:lvl>
    <w:lvl w:ilvl="3">
      <w:start w:val="1"/>
      <w:numFmt w:val="bullet"/>
      <w:lvlText w:val="●"/>
      <w:lvlJc w:val="left"/>
      <w:pPr>
        <w:ind w:left="1800" w:hanging="360"/>
      </w:pPr>
      <w:rPr/>
    </w:lvl>
    <w:lvl w:ilvl="4">
      <w:start w:val="1"/>
      <w:numFmt w:val="bullet"/>
      <w:lvlText w:val="○"/>
      <w:lvlJc w:val="left"/>
      <w:pPr>
        <w:ind w:left="2160" w:hanging="360"/>
      </w:pPr>
      <w:rPr/>
    </w:lvl>
    <w:lvl w:ilvl="5">
      <w:start w:val="1"/>
      <w:numFmt w:val="bullet"/>
      <w:lvlText w:val="■"/>
      <w:lvlJc w:val="left"/>
      <w:pPr>
        <w:ind w:left="2520" w:hanging="360"/>
      </w:pPr>
      <w:rPr/>
    </w:lvl>
    <w:lvl w:ilvl="6">
      <w:start w:val="1"/>
      <w:numFmt w:val="bullet"/>
      <w:lvlText w:val="●"/>
      <w:lvlJc w:val="left"/>
      <w:pPr>
        <w:ind w:left="2880" w:hanging="360"/>
      </w:pPr>
      <w:rPr/>
    </w:lvl>
    <w:lvl w:ilvl="7">
      <w:start w:val="1"/>
      <w:numFmt w:val="bullet"/>
      <w:lvlText w:val="○"/>
      <w:lvlJc w:val="left"/>
      <w:pPr>
        <w:ind w:left="3240" w:hanging="360"/>
      </w:pPr>
      <w:rPr/>
    </w:lvl>
    <w:lvl w:ilvl="8">
      <w:start w:val="1"/>
      <w:numFmt w:val="bullet"/>
      <w:lvlText w:val="■"/>
      <w:lvlJc w:val="left"/>
      <w:pPr>
        <w:ind w:left="3600" w:hanging="360"/>
      </w:pPr>
      <w:rPr/>
    </w:lvl>
  </w:abstractNum>
  <w:abstractNum w:abstractNumId="10">
    <w:lvl w:ilvl="0">
      <w:start w:val="1"/>
      <w:numFmt w:val="bullet"/>
      <w:lvlText w:val="●"/>
      <w:lvlJc w:val="left"/>
      <w:pPr>
        <w:ind w:left="720" w:hanging="283"/>
      </w:pPr>
      <w:rPr>
        <w:rFonts w:ascii="Noto Sans Symbols" w:cs="Noto Sans Symbols" w:eastAsia="Noto Sans Symbols" w:hAnsi="Noto Sans Symbols"/>
      </w:rPr>
    </w:lvl>
    <w:lvl w:ilvl="1">
      <w:start w:val="1"/>
      <w:numFmt w:val="decimal"/>
      <w:lvlText w:val="%2."/>
      <w:lvlJc w:val="left"/>
      <w:pPr>
        <w:ind w:left="1080" w:hanging="360"/>
      </w:pPr>
      <w:rPr/>
    </w:lvl>
    <w:lvl w:ilvl="2">
      <w:start w:val="1"/>
      <w:numFmt w:val="decimal"/>
      <w:lvlText w:val="%3."/>
      <w:lvlJc w:val="left"/>
      <w:pPr>
        <w:ind w:left="1440" w:hanging="360"/>
      </w:pPr>
      <w:rPr/>
    </w:lvl>
    <w:lvl w:ilvl="3">
      <w:start w:val="1"/>
      <w:numFmt w:val="decimal"/>
      <w:lvlText w:val="%4."/>
      <w:lvlJc w:val="left"/>
      <w:pPr>
        <w:ind w:left="1800" w:hanging="360"/>
      </w:pPr>
      <w:rPr/>
    </w:lvl>
    <w:lvl w:ilvl="4">
      <w:start w:val="1"/>
      <w:numFmt w:val="decimal"/>
      <w:lvlText w:val="%5."/>
      <w:lvlJc w:val="left"/>
      <w:pPr>
        <w:ind w:left="2160" w:hanging="360"/>
      </w:pPr>
      <w:rPr/>
    </w:lvl>
    <w:lvl w:ilvl="5">
      <w:start w:val="1"/>
      <w:numFmt w:val="decimal"/>
      <w:lvlText w:val="%6."/>
      <w:lvlJc w:val="left"/>
      <w:pPr>
        <w:ind w:left="2520" w:hanging="360"/>
      </w:pPr>
      <w:rPr/>
    </w:lvl>
    <w:lvl w:ilvl="6">
      <w:start w:val="1"/>
      <w:numFmt w:val="decimal"/>
      <w:lvlText w:val="%7."/>
      <w:lvlJc w:val="left"/>
      <w:pPr>
        <w:ind w:left="2880" w:hanging="360"/>
      </w:pPr>
      <w:rPr/>
    </w:lvl>
    <w:lvl w:ilvl="7">
      <w:start w:val="1"/>
      <w:numFmt w:val="decimal"/>
      <w:lvlText w:val="%8."/>
      <w:lvlJc w:val="left"/>
      <w:pPr>
        <w:ind w:left="3240" w:hanging="360"/>
      </w:pPr>
      <w:rPr/>
    </w:lvl>
    <w:lvl w:ilvl="8">
      <w:start w:val="1"/>
      <w:numFmt w:val="decimal"/>
      <w:lvlText w:val="%9."/>
      <w:lvlJc w:val="left"/>
      <w:pPr>
        <w:ind w:left="3600" w:hanging="360"/>
      </w:pPr>
      <w:rPr/>
    </w:lvl>
  </w:abstractNum>
  <w:abstractNum w:abstractNumId="11">
    <w:lvl w:ilvl="0">
      <w:start w:val="1"/>
      <w:numFmt w:val="bullet"/>
      <w:lvlText w:val="●"/>
      <w:lvlJc w:val="left"/>
      <w:pPr>
        <w:ind w:left="720" w:hanging="283"/>
      </w:pPr>
      <w:rPr>
        <w:rFonts w:ascii="Noto Sans Symbols" w:cs="Noto Sans Symbols" w:eastAsia="Noto Sans Symbols" w:hAnsi="Noto Sans Symbols"/>
      </w:rPr>
    </w:lvl>
    <w:lvl w:ilvl="1">
      <w:start w:val="1"/>
      <w:numFmt w:val="decimal"/>
      <w:lvlText w:val="%2."/>
      <w:lvlJc w:val="left"/>
      <w:pPr>
        <w:ind w:left="1080" w:hanging="360"/>
      </w:pPr>
      <w:rPr/>
    </w:lvl>
    <w:lvl w:ilvl="2">
      <w:start w:val="1"/>
      <w:numFmt w:val="decimal"/>
      <w:lvlText w:val="%3."/>
      <w:lvlJc w:val="left"/>
      <w:pPr>
        <w:ind w:left="1440" w:hanging="360"/>
      </w:pPr>
      <w:rPr/>
    </w:lvl>
    <w:lvl w:ilvl="3">
      <w:start w:val="1"/>
      <w:numFmt w:val="decimal"/>
      <w:lvlText w:val="%4."/>
      <w:lvlJc w:val="left"/>
      <w:pPr>
        <w:ind w:left="1800" w:hanging="360"/>
      </w:pPr>
      <w:rPr/>
    </w:lvl>
    <w:lvl w:ilvl="4">
      <w:start w:val="1"/>
      <w:numFmt w:val="decimal"/>
      <w:lvlText w:val="%5."/>
      <w:lvlJc w:val="left"/>
      <w:pPr>
        <w:ind w:left="2160" w:hanging="360"/>
      </w:pPr>
      <w:rPr/>
    </w:lvl>
    <w:lvl w:ilvl="5">
      <w:start w:val="1"/>
      <w:numFmt w:val="decimal"/>
      <w:lvlText w:val="%6."/>
      <w:lvlJc w:val="left"/>
      <w:pPr>
        <w:ind w:left="2520" w:hanging="360"/>
      </w:pPr>
      <w:rPr/>
    </w:lvl>
    <w:lvl w:ilvl="6">
      <w:start w:val="1"/>
      <w:numFmt w:val="decimal"/>
      <w:lvlText w:val="%7."/>
      <w:lvlJc w:val="left"/>
      <w:pPr>
        <w:ind w:left="2880" w:hanging="360"/>
      </w:pPr>
      <w:rPr/>
    </w:lvl>
    <w:lvl w:ilvl="7">
      <w:start w:val="1"/>
      <w:numFmt w:val="decimal"/>
      <w:lvlText w:val="%8."/>
      <w:lvlJc w:val="left"/>
      <w:pPr>
        <w:ind w:left="3240" w:hanging="360"/>
      </w:pPr>
      <w:rPr/>
    </w:lvl>
    <w:lvl w:ilvl="8">
      <w:start w:val="1"/>
      <w:numFmt w:val="decimal"/>
      <w:lvlText w:val="%9."/>
      <w:lvlJc w:val="left"/>
      <w:pPr>
        <w:ind w:left="3600" w:hanging="360"/>
      </w:pPr>
      <w:rPr/>
    </w:lvl>
  </w:abstractNum>
  <w:abstractNum w:abstractNumId="12">
    <w:lvl w:ilvl="0">
      <w:start w:val="1"/>
      <w:numFmt w:val="bullet"/>
      <w:lvlText w:val="●"/>
      <w:lvlJc w:val="left"/>
      <w:pPr>
        <w:ind w:left="720" w:hanging="283"/>
      </w:pPr>
      <w:rPr>
        <w:rFonts w:ascii="Noto Sans Symbols" w:cs="Noto Sans Symbols" w:eastAsia="Noto Sans Symbols" w:hAnsi="Noto Sans Symbols"/>
      </w:rPr>
    </w:lvl>
    <w:lvl w:ilvl="1">
      <w:start w:val="1"/>
      <w:numFmt w:val="decimal"/>
      <w:lvlText w:val="%2."/>
      <w:lvlJc w:val="left"/>
      <w:pPr>
        <w:ind w:left="1080" w:hanging="360"/>
      </w:pPr>
      <w:rPr/>
    </w:lvl>
    <w:lvl w:ilvl="2">
      <w:start w:val="1"/>
      <w:numFmt w:val="decimal"/>
      <w:lvlText w:val="%3."/>
      <w:lvlJc w:val="left"/>
      <w:pPr>
        <w:ind w:left="1440" w:hanging="360"/>
      </w:pPr>
      <w:rPr/>
    </w:lvl>
    <w:lvl w:ilvl="3">
      <w:start w:val="1"/>
      <w:numFmt w:val="decimal"/>
      <w:lvlText w:val="%4."/>
      <w:lvlJc w:val="left"/>
      <w:pPr>
        <w:ind w:left="1800" w:hanging="360"/>
      </w:pPr>
      <w:rPr/>
    </w:lvl>
    <w:lvl w:ilvl="4">
      <w:start w:val="1"/>
      <w:numFmt w:val="decimal"/>
      <w:lvlText w:val="%5."/>
      <w:lvlJc w:val="left"/>
      <w:pPr>
        <w:ind w:left="2160" w:hanging="360"/>
      </w:pPr>
      <w:rPr/>
    </w:lvl>
    <w:lvl w:ilvl="5">
      <w:start w:val="1"/>
      <w:numFmt w:val="decimal"/>
      <w:lvlText w:val="%6."/>
      <w:lvlJc w:val="left"/>
      <w:pPr>
        <w:ind w:left="2520" w:hanging="360"/>
      </w:pPr>
      <w:rPr/>
    </w:lvl>
    <w:lvl w:ilvl="6">
      <w:start w:val="1"/>
      <w:numFmt w:val="decimal"/>
      <w:lvlText w:val="%7."/>
      <w:lvlJc w:val="left"/>
      <w:pPr>
        <w:ind w:left="2880" w:hanging="360"/>
      </w:pPr>
      <w:rPr/>
    </w:lvl>
    <w:lvl w:ilvl="7">
      <w:start w:val="1"/>
      <w:numFmt w:val="decimal"/>
      <w:lvlText w:val="%8."/>
      <w:lvlJc w:val="left"/>
      <w:pPr>
        <w:ind w:left="3240" w:hanging="360"/>
      </w:pPr>
      <w:rPr/>
    </w:lvl>
    <w:lvl w:ilvl="8">
      <w:start w:val="1"/>
      <w:numFmt w:val="decimal"/>
      <w:lvlText w:val="%9."/>
      <w:lvlJc w:val="left"/>
      <w:pPr>
        <w:ind w:left="360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1"/>
        <w:szCs w:val="21"/>
        <w:lang w:val="en"/>
      </w:rPr>
    </w:rPrDefault>
    <w:pPrDefault>
      <w:pPr>
        <w:spacing w:after="1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240" w:lineRule="auto"/>
    </w:pPr>
    <w:rPr>
      <w:rFonts w:ascii="Calibri" w:cs="Calibri" w:eastAsia="Calibri" w:hAnsi="Calibri"/>
      <w:b w:val="1"/>
      <w:bCs w:val="1"/>
      <w:color w:val="366091"/>
      <w:sz w:val="30"/>
      <w:szCs w:val="30"/>
    </w:rPr>
  </w:style>
  <w:style w:type="paragraph" w:styleId="Heading2">
    <w:name w:val="heading 2"/>
    <w:basedOn w:val="Normal"/>
    <w:next w:val="Normal"/>
    <w:pPr>
      <w:keepNext w:val="1"/>
      <w:keepLines w:val="1"/>
      <w:spacing w:after="80" w:before="160" w:lineRule="auto"/>
    </w:pPr>
    <w:rPr>
      <w:rFonts w:ascii="Calibri" w:cs="Calibri" w:eastAsia="Calibri" w:hAnsi="Calibri"/>
      <w:b w:val="1"/>
      <w:bCs w:val="1"/>
      <w:color w:val="4f81bd"/>
      <w:sz w:val="24"/>
      <w:szCs w:val="24"/>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before="0" w:line="240" w:lineRule="auto"/>
    </w:pPr>
    <w:rPr>
      <w:rFonts w:ascii="Calibri" w:cs="Calibri" w:eastAsia="Calibri" w:hAnsi="Calibri"/>
      <w:b w:val="1"/>
      <w:bCs w:val="1"/>
      <w:color w:val="17365d"/>
      <w:sz w:val="44"/>
      <w:szCs w:val="44"/>
    </w:rPr>
  </w:style>
  <w:style w:type="paragraph" w:styleId="Heading7">
    <w:name w:val="heading 7"/>
    <w:basedOn w:val="Normal"/>
    <w:next w:val="Normal"/>
    <w:link w:val="Heading7Char"/>
    <w:uiPriority w:val="9"/>
    <w:semiHidden w:val="1"/>
    <w:unhideWhenUsed w:val="1"/>
    <w:qFormat w:val="1"/>
    <w:rsid w:val="00FC693F"/>
    <w:pPr>
      <w:keepNext w:val="1"/>
      <w:keepLines w:val="1"/>
      <w:spacing w:after="0" w:before="200"/>
      <w:outlineLvl w:val="6"/>
    </w:pPr>
    <w:rPr>
      <w:rFonts w:ascii="Calibri" w:cs="" w:eastAsia="" w:hAnsi="Calibri" w:asciiTheme="majorHAnsi" w:cstheme="majorBidi" w:eastAsiaTheme="majorEastAsia" w:hAnsiTheme="majorHAnsi"/>
      <w:i w:val="1"/>
      <w:iCs w:val="1"/>
      <w:color w:val="404040" w:themeColor="text1" w:themeTint="0000BF"/>
    </w:rPr>
  </w:style>
  <w:style w:type="paragraph" w:styleId="Heading8">
    <w:name w:val="heading 8"/>
    <w:basedOn w:val="Normal"/>
    <w:next w:val="Normal"/>
    <w:link w:val="Heading8Char"/>
    <w:uiPriority w:val="9"/>
    <w:semiHidden w:val="1"/>
    <w:unhideWhenUsed w:val="1"/>
    <w:qFormat w:val="1"/>
    <w:rsid w:val="00FC693F"/>
    <w:pPr>
      <w:keepNext w:val="1"/>
      <w:keepLines w:val="1"/>
      <w:spacing w:after="0" w:before="200"/>
      <w:outlineLvl w:val="7"/>
    </w:pPr>
    <w:rPr>
      <w:rFonts w:ascii="Calibri" w:cs="" w:eastAsia="" w:hAnsi="Calibri" w:asciiTheme="majorHAnsi" w:cstheme="majorBidi" w:eastAsiaTheme="majorEastAsia" w:hAnsiTheme="majorHAnsi"/>
      <w:color w:val="4f81bd" w:themeColor="accent1"/>
      <w:sz w:val="20"/>
      <w:szCs w:val="20"/>
    </w:rPr>
  </w:style>
  <w:style w:type="paragraph" w:styleId="Heading9">
    <w:name w:val="heading 9"/>
    <w:basedOn w:val="Normal"/>
    <w:next w:val="Normal"/>
    <w:link w:val="Heading9Char"/>
    <w:uiPriority w:val="9"/>
    <w:semiHidden w:val="1"/>
    <w:unhideWhenUsed w:val="1"/>
    <w:qFormat w:val="1"/>
    <w:rsid w:val="00FC693F"/>
    <w:pPr>
      <w:keepNext w:val="1"/>
      <w:keepLines w:val="1"/>
      <w:spacing w:after="0" w:before="200"/>
      <w:outlineLvl w:val="8"/>
    </w:pPr>
    <w:rPr>
      <w:rFonts w:ascii="Calibri" w:cs="" w:eastAsia="" w:hAnsi="Calibri" w:asciiTheme="majorHAnsi" w:cstheme="majorBidi" w:eastAsiaTheme="majorEastAsia" w:hAnsiTheme="majorHAnsi"/>
      <w:i w:val="1"/>
      <w:iCs w:val="1"/>
      <w:color w:val="404040" w:themeColor="text1" w:themeTint="0000BF"/>
      <w:sz w:val="20"/>
      <w:szCs w:val="20"/>
    </w:rPr>
  </w:style>
  <w:style w:type="character" w:styleId="HeaderChar" w:customStyle="1">
    <w:name w:val="Header Char"/>
    <w:basedOn w:val="DefaultParagraphFont"/>
    <w:link w:val="Header"/>
    <w:uiPriority w:val="99"/>
    <w:qFormat w:val="1"/>
    <w:rsid w:val="00E618BF"/>
    <w:rPr/>
  </w:style>
  <w:style w:type="character" w:styleId="FooterChar" w:customStyle="1">
    <w:name w:val="Footer Char"/>
    <w:basedOn w:val="DefaultParagraphFont"/>
    <w:link w:val="Footer"/>
    <w:uiPriority w:val="99"/>
    <w:qFormat w:val="1"/>
    <w:rsid w:val="00E618BF"/>
    <w:rPr/>
  </w:style>
  <w:style w:type="character" w:styleId="DefaultParagraphFont" w:default="1">
    <w:name w:val="Default Paragraph Font"/>
    <w:uiPriority w:val="1"/>
    <w:semiHidden w:val="1"/>
    <w:unhideWhenUsed w:val="1"/>
    <w:qFormat w:val="1"/>
    <w:rPr/>
  </w:style>
  <w:style w:type="character" w:styleId="Heading1Char" w:customStyle="1">
    <w:name w:val="Heading 1 Char"/>
    <w:basedOn w:val="DefaultParagraphFont"/>
    <w:link w:val="Heading1"/>
    <w:uiPriority w:val="9"/>
    <w:qFormat w:val="1"/>
    <w:rsid w:val="00FC693F"/>
    <w:rPr>
      <w:rFonts w:ascii="Calibri" w:cs="" w:eastAsia="" w:hAnsi="Calibri" w:asciiTheme="majorHAnsi" w:cstheme="majorBidi" w:eastAsiaTheme="majorEastAsia" w:hAnsiTheme="majorHAnsi"/>
      <w:b w:val="1"/>
      <w:bCs w:val="1"/>
      <w:color w:val="365f91" w:themeColor="accent1" w:themeShade="0000BF"/>
      <w:sz w:val="28"/>
      <w:szCs w:val="28"/>
    </w:rPr>
  </w:style>
  <w:style w:type="character" w:styleId="Heading2Char" w:customStyle="1">
    <w:name w:val="Heading 2 Char"/>
    <w:basedOn w:val="DefaultParagraphFont"/>
    <w:link w:val="Heading2"/>
    <w:uiPriority w:val="9"/>
    <w:qFormat w:val="1"/>
    <w:rsid w:val="00FC693F"/>
    <w:rPr>
      <w:rFonts w:ascii="Calibri" w:cs="" w:eastAsia="" w:hAnsi="Calibri" w:asciiTheme="majorHAnsi" w:cstheme="majorBidi" w:eastAsiaTheme="majorEastAsia" w:hAnsiTheme="majorHAnsi"/>
      <w:b w:val="1"/>
      <w:bCs w:val="1"/>
      <w:color w:val="4f81bd" w:themeColor="accent1"/>
      <w:sz w:val="26"/>
      <w:szCs w:val="26"/>
    </w:rPr>
  </w:style>
  <w:style w:type="character" w:styleId="Heading3Char" w:customStyle="1">
    <w:name w:val="Heading 3 Char"/>
    <w:basedOn w:val="DefaultParagraphFont"/>
    <w:link w:val="Heading3"/>
    <w:uiPriority w:val="9"/>
    <w:qFormat w:val="1"/>
    <w:rsid w:val="00FC693F"/>
    <w:rPr>
      <w:rFonts w:ascii="Calibri" w:cs="" w:eastAsia="" w:hAnsi="Calibri" w:asciiTheme="majorHAnsi" w:cstheme="majorBidi" w:eastAsiaTheme="majorEastAsia" w:hAnsiTheme="majorHAnsi"/>
      <w:b w:val="1"/>
      <w:bCs w:val="1"/>
      <w:color w:val="4f81bd" w:themeColor="accent1"/>
    </w:rPr>
  </w:style>
  <w:style w:type="character" w:styleId="TitleChar" w:customStyle="1">
    <w:name w:val="Title Char"/>
    <w:basedOn w:val="DefaultParagraphFont"/>
    <w:link w:val="Title"/>
    <w:uiPriority w:val="10"/>
    <w:qFormat w:val="1"/>
    <w:rsid w:val="00FC693F"/>
    <w:rPr>
      <w:rFonts w:ascii="Calibri" w:cs="" w:eastAsia="" w:hAnsi="Calibri" w:asciiTheme="majorHAnsi" w:cstheme="majorBidi" w:eastAsiaTheme="majorEastAsia" w:hAnsiTheme="majorHAnsi"/>
      <w:color w:val="17365d" w:themeColor="text2" w:themeShade="0000BF"/>
      <w:spacing w:val="5"/>
      <w:kern w:val="2"/>
      <w:sz w:val="52"/>
      <w:szCs w:val="52"/>
    </w:rPr>
  </w:style>
  <w:style w:type="character" w:styleId="SubtitleChar" w:customStyle="1">
    <w:name w:val="Subtitle Char"/>
    <w:basedOn w:val="DefaultParagraphFont"/>
    <w:link w:val="Subtitle"/>
    <w:uiPriority w:val="11"/>
    <w:qFormat w:val="1"/>
    <w:rsid w:val="00FC693F"/>
    <w:rPr>
      <w:rFonts w:ascii="Calibri" w:cs="" w:eastAsia="" w:hAnsi="Calibri" w:asciiTheme="majorHAnsi" w:cstheme="majorBidi" w:eastAsiaTheme="majorEastAsia" w:hAnsiTheme="majorHAnsi"/>
      <w:i w:val="1"/>
      <w:iCs w:val="1"/>
      <w:color w:val="4f81bd" w:themeColor="accent1"/>
      <w:spacing w:val="15"/>
      <w:sz w:val="24"/>
      <w:szCs w:val="24"/>
    </w:rPr>
  </w:style>
  <w:style w:type="character" w:styleId="BodyTextChar" w:customStyle="1">
    <w:name w:val="Body Text Char"/>
    <w:basedOn w:val="DefaultParagraphFont"/>
    <w:uiPriority w:val="99"/>
    <w:qFormat w:val="1"/>
    <w:rsid w:val="00AA1D8D"/>
    <w:rPr/>
  </w:style>
  <w:style w:type="character" w:styleId="BodyText2Char" w:customStyle="1">
    <w:name w:val="Body Text 2 Char"/>
    <w:basedOn w:val="DefaultParagraphFont"/>
    <w:link w:val="BodyText2"/>
    <w:uiPriority w:val="99"/>
    <w:qFormat w:val="1"/>
    <w:rsid w:val="00AA1D8D"/>
    <w:rPr/>
  </w:style>
  <w:style w:type="character" w:styleId="BodyText3Char" w:customStyle="1">
    <w:name w:val="Body Text 3 Char"/>
    <w:basedOn w:val="DefaultParagraphFont"/>
    <w:link w:val="BodyText3"/>
    <w:uiPriority w:val="99"/>
    <w:qFormat w:val="1"/>
    <w:rsid w:val="00AA1D8D"/>
    <w:rPr>
      <w:sz w:val="16"/>
      <w:szCs w:val="16"/>
    </w:rPr>
  </w:style>
  <w:style w:type="character" w:styleId="MacroTextChar" w:customStyle="1">
    <w:name w:val="Macro Text Char"/>
    <w:basedOn w:val="DefaultParagraphFont"/>
    <w:link w:val="MacroText"/>
    <w:uiPriority w:val="99"/>
    <w:qFormat w:val="1"/>
    <w:rsid w:val="0029639D"/>
    <w:rPr>
      <w:rFonts w:ascii="Courier" w:hAnsi="Courier"/>
      <w:sz w:val="20"/>
      <w:szCs w:val="20"/>
    </w:rPr>
  </w:style>
  <w:style w:type="character" w:styleId="QuoteChar" w:customStyle="1">
    <w:name w:val="Quote Char"/>
    <w:basedOn w:val="DefaultParagraphFont"/>
    <w:link w:val="Quote"/>
    <w:uiPriority w:val="29"/>
    <w:qFormat w:val="1"/>
    <w:rsid w:val="00FC693F"/>
    <w:rPr>
      <w:i w:val="1"/>
      <w:iCs w:val="1"/>
      <w:color w:val="000000" w:themeColor="text1"/>
    </w:rPr>
  </w:style>
  <w:style w:type="character" w:styleId="Heading4Char" w:customStyle="1">
    <w:name w:val="Heading 4 Char"/>
    <w:basedOn w:val="DefaultParagraphFont"/>
    <w:link w:val="Heading4"/>
    <w:uiPriority w:val="9"/>
    <w:semiHidden w:val="1"/>
    <w:qFormat w:val="1"/>
    <w:rsid w:val="00FC693F"/>
    <w:rPr>
      <w:rFonts w:ascii="Calibri" w:cs="" w:eastAsia="" w:hAnsi="Calibri" w:asciiTheme="majorHAnsi" w:cstheme="majorBidi" w:eastAsiaTheme="majorEastAsia" w:hAnsiTheme="majorHAnsi"/>
      <w:b w:val="1"/>
      <w:bCs w:val="1"/>
      <w:i w:val="1"/>
      <w:iCs w:val="1"/>
      <w:color w:val="4f81bd" w:themeColor="accent1"/>
    </w:rPr>
  </w:style>
  <w:style w:type="character" w:styleId="Heading5Char" w:customStyle="1">
    <w:name w:val="Heading 5 Char"/>
    <w:basedOn w:val="DefaultParagraphFont"/>
    <w:link w:val="Heading5"/>
    <w:uiPriority w:val="9"/>
    <w:semiHidden w:val="1"/>
    <w:qFormat w:val="1"/>
    <w:rsid w:val="00FC693F"/>
    <w:rPr>
      <w:rFonts w:ascii="Calibri" w:cs="" w:eastAsia="" w:hAnsi="Calibri" w:asciiTheme="majorHAnsi" w:cstheme="majorBidi" w:eastAsiaTheme="majorEastAsia" w:hAnsiTheme="majorHAnsi"/>
      <w:color w:val="243f60" w:themeColor="accent1" w:themeShade="00007F"/>
    </w:rPr>
  </w:style>
  <w:style w:type="character" w:styleId="Heading6Char" w:customStyle="1">
    <w:name w:val="Heading 6 Char"/>
    <w:basedOn w:val="DefaultParagraphFont"/>
    <w:link w:val="Heading6"/>
    <w:uiPriority w:val="9"/>
    <w:semiHidden w:val="1"/>
    <w:qFormat w:val="1"/>
    <w:rsid w:val="00FC693F"/>
    <w:rPr>
      <w:rFonts w:ascii="Calibri" w:cs="" w:eastAsia="" w:hAnsi="Calibri" w:asciiTheme="majorHAnsi" w:cstheme="majorBidi" w:eastAsiaTheme="majorEastAsia" w:hAnsiTheme="majorHAnsi"/>
      <w:i w:val="1"/>
      <w:iCs w:val="1"/>
      <w:color w:val="243f60" w:themeColor="accent1" w:themeShade="00007F"/>
    </w:rPr>
  </w:style>
  <w:style w:type="character" w:styleId="Heading7Char" w:customStyle="1">
    <w:name w:val="Heading 7 Char"/>
    <w:basedOn w:val="DefaultParagraphFont"/>
    <w:link w:val="Heading7"/>
    <w:uiPriority w:val="9"/>
    <w:semiHidden w:val="1"/>
    <w:qFormat w:val="1"/>
    <w:rsid w:val="00FC693F"/>
    <w:rPr>
      <w:rFonts w:ascii="Calibri" w:cs="" w:eastAsia="" w:hAnsi="Calibri" w:asciiTheme="majorHAnsi" w:cstheme="majorBidi" w:eastAsiaTheme="majorEastAsia" w:hAnsiTheme="majorHAnsi"/>
      <w:i w:val="1"/>
      <w:iCs w:val="1"/>
      <w:color w:val="404040" w:themeColor="text1" w:themeTint="0000BF"/>
    </w:rPr>
  </w:style>
  <w:style w:type="character" w:styleId="Heading8Char" w:customStyle="1">
    <w:name w:val="Heading 8 Char"/>
    <w:basedOn w:val="DefaultParagraphFont"/>
    <w:link w:val="Heading8"/>
    <w:uiPriority w:val="9"/>
    <w:semiHidden w:val="1"/>
    <w:qFormat w:val="1"/>
    <w:rsid w:val="00FC693F"/>
    <w:rPr>
      <w:rFonts w:ascii="Calibri" w:cs="" w:eastAsia="" w:hAnsi="Calibri" w:asciiTheme="majorHAnsi" w:cstheme="majorBidi" w:eastAsiaTheme="majorEastAsia" w:hAnsiTheme="majorHAnsi"/>
      <w:color w:val="4f81bd" w:themeColor="accent1"/>
      <w:sz w:val="20"/>
      <w:szCs w:val="20"/>
    </w:rPr>
  </w:style>
  <w:style w:type="character" w:styleId="Heading9Char" w:customStyle="1">
    <w:name w:val="Heading 9 Char"/>
    <w:basedOn w:val="DefaultParagraphFont"/>
    <w:link w:val="Heading9"/>
    <w:uiPriority w:val="9"/>
    <w:semiHidden w:val="1"/>
    <w:qFormat w:val="1"/>
    <w:rsid w:val="00FC693F"/>
    <w:rPr>
      <w:rFonts w:ascii="Calibri" w:cs="" w:eastAsia="" w:hAnsi="Calibri" w:asciiTheme="majorHAnsi" w:cstheme="majorBidi" w:eastAsiaTheme="majorEastAsia" w:hAnsiTheme="majorHAnsi"/>
      <w:i w:val="1"/>
      <w:iCs w:val="1"/>
      <w:color w:val="404040" w:themeColor="text1" w:themeTint="0000BF"/>
      <w:sz w:val="20"/>
      <w:szCs w:val="20"/>
    </w:rPr>
  </w:style>
  <w:style w:type="character" w:styleId="Strong">
    <w:name w:val="Strong"/>
    <w:basedOn w:val="DefaultParagraphFont"/>
    <w:uiPriority w:val="22"/>
    <w:qFormat w:val="1"/>
    <w:rsid w:val="00FC693F"/>
    <w:rPr>
      <w:b w:val="1"/>
      <w:bCs w:val="1"/>
    </w:rPr>
  </w:style>
  <w:style w:type="character" w:styleId="Emphasis">
    <w:name w:val="Emphasis"/>
    <w:basedOn w:val="DefaultParagraphFont"/>
    <w:uiPriority w:val="20"/>
    <w:qFormat w:val="1"/>
    <w:rsid w:val="00FC693F"/>
    <w:rPr>
      <w:i w:val="1"/>
      <w:iCs w:val="1"/>
    </w:rPr>
  </w:style>
  <w:style w:type="character" w:styleId="IntenseQuoteChar" w:customStyle="1">
    <w:name w:val="Intense Quote Char"/>
    <w:basedOn w:val="DefaultParagraphFont"/>
    <w:link w:val="IntenseQuote"/>
    <w:uiPriority w:val="30"/>
    <w:qFormat w:val="1"/>
    <w:rsid w:val="00FC693F"/>
    <w:rPr>
      <w:b w:val="1"/>
      <w:bCs w:val="1"/>
      <w:i w:val="1"/>
      <w:iCs w:val="1"/>
      <w:color w:val="4f81bd" w:themeColor="accent1"/>
    </w:rPr>
  </w:style>
  <w:style w:type="character" w:styleId="SubtleEmphasis">
    <w:name w:val="Subtle Emphasis"/>
    <w:basedOn w:val="DefaultParagraphFont"/>
    <w:uiPriority w:val="19"/>
    <w:qFormat w:val="1"/>
    <w:rsid w:val="00FC693F"/>
    <w:rPr>
      <w:i w:val="1"/>
      <w:iCs w:val="1"/>
      <w:color w:val="808080" w:themeColor="text1" w:themeTint="00007F"/>
    </w:rPr>
  </w:style>
  <w:style w:type="character" w:styleId="IntenseEmphasis">
    <w:name w:val="Intense Emphasis"/>
    <w:basedOn w:val="DefaultParagraphFont"/>
    <w:uiPriority w:val="21"/>
    <w:qFormat w:val="1"/>
    <w:rsid w:val="00FC693F"/>
    <w:rPr>
      <w:b w:val="1"/>
      <w:bCs w:val="1"/>
      <w:i w:val="1"/>
      <w:iCs w:val="1"/>
      <w:color w:val="4f81bd" w:themeColor="accent1"/>
    </w:rPr>
  </w:style>
  <w:style w:type="character" w:styleId="SubtleReference">
    <w:name w:val="Subtle Reference"/>
    <w:basedOn w:val="DefaultParagraphFont"/>
    <w:uiPriority w:val="31"/>
    <w:qFormat w:val="1"/>
    <w:rsid w:val="00FC693F"/>
    <w:rPr>
      <w:smallCaps w:val="1"/>
      <w:color w:val="c0504d" w:themeColor="accent2"/>
      <w:u w:val="single"/>
    </w:rPr>
  </w:style>
  <w:style w:type="character" w:styleId="IntenseReference">
    <w:name w:val="Intense Reference"/>
    <w:basedOn w:val="DefaultParagraphFont"/>
    <w:uiPriority w:val="32"/>
    <w:qFormat w:val="1"/>
    <w:rsid w:val="00FC693F"/>
    <w:rPr>
      <w:b w:val="1"/>
      <w:bCs w:val="1"/>
      <w:smallCaps w:val="1"/>
      <w:color w:val="c0504d" w:themeColor="accent2"/>
      <w:spacing w:val="5"/>
      <w:u w:val="single"/>
    </w:rPr>
  </w:style>
  <w:style w:type="character" w:styleId="BookTitle">
    <w:name w:val="Book Title"/>
    <w:basedOn w:val="DefaultParagraphFont"/>
    <w:uiPriority w:val="33"/>
    <w:qFormat w:val="1"/>
    <w:rsid w:val="00FC693F"/>
    <w:rPr>
      <w:b w:val="1"/>
      <w:bCs w:val="1"/>
      <w:smallCaps w:val="1"/>
      <w:spacing w:val="5"/>
    </w:rPr>
  </w:style>
  <w:style w:type="character" w:styleId="Bulletsuser">
    <w:name w:val="Bullets (user)"/>
    <w:qFormat w:val="1"/>
    <w:rPr>
      <w:rFonts w:ascii="OpenSymbol" w:cs="OpenSymbol" w:eastAsia="OpenSymbol" w:hAnsi="OpenSymbol"/>
    </w:rPr>
  </w:style>
  <w:style w:type="character" w:styleId="Hyperlink">
    <w:name w:val="Hyperlink"/>
    <w:rPr>
      <w:color w:val="000080"/>
      <w:u w:val="single"/>
    </w:rPr>
  </w:style>
  <w:style w:type="paragraph" w:styleId="Heading">
    <w:name w:val="Heading"/>
    <w:basedOn w:val="Normal"/>
    <w:next w:val="BodyText"/>
    <w:qFormat w:val="1"/>
    <w:pPr>
      <w:keepNext w:val="1"/>
      <w:spacing w:after="120" w:before="240"/>
    </w:pPr>
    <w:rPr>
      <w:rFonts w:ascii="Liberation Sans" w:cs="Lucida Sans" w:eastAsia="Microsoft YaHei" w:hAnsi="Liberation Sans"/>
      <w:sz w:val="28"/>
      <w:szCs w:val="28"/>
    </w:rPr>
  </w:style>
  <w:style w:type="paragraph" w:styleId="BodyText">
    <w:name w:val="Body Text"/>
    <w:basedOn w:val="Normal"/>
    <w:link w:val="BodyTextChar"/>
    <w:uiPriority w:val="99"/>
    <w:unhideWhenUsed w:val="1"/>
    <w:rsid w:val="00AA1D8D"/>
    <w:pPr>
      <w:spacing w:after="120" w:before="0"/>
    </w:pPr>
    <w:rPr/>
  </w:style>
  <w:style w:type="paragraph" w:styleId="List">
    <w:name w:val="List"/>
    <w:basedOn w:val="Normal"/>
    <w:uiPriority w:val="99"/>
    <w:unhideWhenUsed w:val="1"/>
    <w:rsid w:val="00AA1D8D"/>
    <w:pPr>
      <w:spacing w:after="100" w:before="0"/>
      <w:ind w:start="360" w:hanging="360"/>
      <w:contextualSpacing w:val="1"/>
    </w:pPr>
    <w:rPr/>
  </w:style>
  <w:style w:type="paragraph" w:styleId="Caption">
    <w:name w:val="caption"/>
    <w:basedOn w:val="Normal"/>
    <w:next w:val="Normal"/>
    <w:uiPriority w:val="35"/>
    <w:semiHidden w:val="1"/>
    <w:unhideWhenUsed w:val="1"/>
    <w:qFormat w:val="1"/>
    <w:rsid w:val="00FC693F"/>
    <w:pPr>
      <w:spacing w:line="240" w:lineRule="auto"/>
    </w:pPr>
    <w:rPr>
      <w:b w:val="1"/>
      <w:bCs w:val="1"/>
      <w:color w:val="4f81bd" w:themeColor="accent1"/>
      <w:sz w:val="18"/>
      <w:szCs w:val="18"/>
    </w:rPr>
  </w:style>
  <w:style w:type="paragraph" w:styleId="Index">
    <w:name w:val="Index"/>
    <w:basedOn w:val="Normal"/>
    <w:qFormat w:val="1"/>
    <w:pPr>
      <w:suppressLineNumbers w:val="1"/>
    </w:pPr>
    <w:rPr>
      <w:rFonts w:cs="Lucida Sans"/>
    </w:rPr>
  </w:style>
  <w:style w:type="paragraph" w:styleId="HeaderandFooter">
    <w:name w:val="Header and Footer"/>
    <w:basedOn w:val="Normal"/>
    <w:qFormat w:val="1"/>
    <w:pPr/>
    <w:rPr/>
  </w:style>
  <w:style w:type="paragraph" w:styleId="Header">
    <w:name w:val="header"/>
    <w:basedOn w:val="Normal"/>
    <w:link w:val="HeaderChar"/>
    <w:uiPriority w:val="99"/>
    <w:unhideWhenUsed w:val="1"/>
    <w:rsid w:val="00E618BF"/>
    <w:pPr>
      <w:tabs>
        <w:tab w:val="clear" w:pos="720"/>
        <w:tab w:val="center" w:leader="none" w:pos="4680"/>
        <w:tab w:val="right" w:leader="none" w:pos="9360"/>
      </w:tabs>
      <w:spacing w:after="0" w:before="0" w:line="240" w:lineRule="auto"/>
    </w:pPr>
    <w:rPr/>
  </w:style>
  <w:style w:type="paragraph" w:styleId="Footer">
    <w:name w:val="footer"/>
    <w:basedOn w:val="Normal"/>
    <w:link w:val="FooterChar"/>
    <w:uiPriority w:val="99"/>
    <w:unhideWhenUsed w:val="1"/>
    <w:rsid w:val="00E618BF"/>
    <w:pPr>
      <w:tabs>
        <w:tab w:val="clear" w:pos="720"/>
        <w:tab w:val="center" w:leader="none" w:pos="4680"/>
        <w:tab w:val="right" w:leader="none" w:pos="9360"/>
      </w:tabs>
      <w:spacing w:after="0" w:before="0" w:line="240" w:lineRule="auto"/>
    </w:pPr>
    <w:rPr/>
  </w:style>
  <w:style w:type="paragraph" w:styleId="NoSpacing">
    <w:name w:val="No Spacing"/>
    <w:uiPriority w:val="1"/>
    <w:qFormat w:val="1"/>
    <w:rsid w:val="00FC693F"/>
    <w:pPr>
      <w:widowControl w:val="1"/>
      <w:suppressAutoHyphens w:val="1"/>
      <w:bidi w:val="0"/>
      <w:spacing w:after="0" w:before="0" w:line="240" w:lineRule="auto"/>
      <w:jc/>
    </w:pPr>
    <w:rPr>
      <w:rFonts w:ascii="Cambria" w:cs="" w:eastAsia="" w:hAnsi="Cambria" w:asciiTheme="minorHAnsi" w:cstheme="minorBidi" w:eastAsiaTheme="minorEastAsia" w:hAnsiTheme="minorHAnsi"/>
      <w:color w:val="auto"/>
      <w:kern w:val="0"/>
      <w:sz w:val="22"/>
      <w:szCs w:val="22"/>
      <w:lang w:bidi="ar-SA" w:eastAsia="en-US" w:val="en-US"/>
    </w:rPr>
  </w:style>
  <w:style w:type="paragraph" w:styleId="ListParagraph">
    <w:name w:val="List Paragraph"/>
    <w:basedOn w:val="Normal"/>
    <w:uiPriority w:val="34"/>
    <w:qFormat w:val="1"/>
    <w:rsid w:val="00FC693F"/>
    <w:pPr>
      <w:spacing w:after="100" w:before="0"/>
      <w:ind w:start="720"/>
      <w:contextualSpacing w:val="1"/>
    </w:pPr>
    <w:rPr/>
  </w:style>
  <w:style w:type="paragraph" w:styleId="BodyText2">
    <w:name w:val="Body Text 2"/>
    <w:basedOn w:val="Normal"/>
    <w:link w:val="BodyText2Char"/>
    <w:uiPriority w:val="99"/>
    <w:unhideWhenUsed w:val="1"/>
    <w:qFormat w:val="1"/>
    <w:rsid w:val="00AA1D8D"/>
    <w:pPr>
      <w:spacing w:after="120" w:before="0" w:line="480" w:lineRule="auto"/>
    </w:pPr>
    <w:rPr/>
  </w:style>
  <w:style w:type="paragraph" w:styleId="BodyText3">
    <w:name w:val="Body Text 3"/>
    <w:basedOn w:val="Normal"/>
    <w:link w:val="BodyText3Char"/>
    <w:uiPriority w:val="99"/>
    <w:unhideWhenUsed w:val="1"/>
    <w:qFormat w:val="1"/>
    <w:rsid w:val="00AA1D8D"/>
    <w:pPr>
      <w:spacing w:after="120" w:before="0"/>
    </w:pPr>
    <w:rPr>
      <w:sz w:val="16"/>
      <w:szCs w:val="16"/>
    </w:rPr>
  </w:style>
  <w:style w:type="paragraph" w:styleId="List2">
    <w:name w:val="List 2"/>
    <w:basedOn w:val="Normal"/>
    <w:uiPriority w:val="99"/>
    <w:unhideWhenUsed w:val="1"/>
    <w:qFormat w:val="1"/>
    <w:rsid w:val="00326F90"/>
    <w:pPr>
      <w:spacing w:after="100" w:before="0"/>
      <w:ind w:start="720" w:hanging="360"/>
      <w:contextualSpacing w:val="1"/>
    </w:pPr>
    <w:rPr/>
  </w:style>
  <w:style w:type="paragraph" w:styleId="List3">
    <w:name w:val="List 3"/>
    <w:basedOn w:val="Normal"/>
    <w:uiPriority w:val="99"/>
    <w:unhideWhenUsed w:val="1"/>
    <w:qFormat w:val="1"/>
    <w:rsid w:val="00326F90"/>
    <w:pPr>
      <w:spacing w:after="100" w:before="0"/>
      <w:ind w:start="1080" w:hanging="360"/>
      <w:contextualSpacing w:val="1"/>
    </w:pPr>
    <w:rPr/>
  </w:style>
  <w:style w:type="paragraph" w:styleId="ListBullet">
    <w:name w:val="List Bullet"/>
    <w:basedOn w:val="Normal"/>
    <w:uiPriority w:val="99"/>
    <w:unhideWhenUsed w:val="1"/>
    <w:rsid w:val="00326F90"/>
    <w:pPr>
      <w:numPr>
        <w:ilvl w:val="0"/>
        <w:numId w:val="1"/>
      </w:numPr>
      <w:spacing w:after="100" w:before="0"/>
      <w:contextualSpacing w:val="1"/>
    </w:pPr>
    <w:rPr/>
  </w:style>
  <w:style w:type="paragraph" w:styleId="ListBullet2">
    <w:name w:val="List Bullet 2"/>
    <w:basedOn w:val="Normal"/>
    <w:uiPriority w:val="99"/>
    <w:unhideWhenUsed w:val="1"/>
    <w:rsid w:val="00326F90"/>
    <w:pPr>
      <w:numPr>
        <w:ilvl w:val="0"/>
        <w:numId w:val="2"/>
      </w:numPr>
      <w:spacing w:after="100" w:before="0"/>
      <w:contextualSpacing w:val="1"/>
    </w:pPr>
    <w:rPr/>
  </w:style>
  <w:style w:type="paragraph" w:styleId="ListBullet3">
    <w:name w:val="List Bullet 3"/>
    <w:basedOn w:val="Normal"/>
    <w:uiPriority w:val="99"/>
    <w:unhideWhenUsed w:val="1"/>
    <w:rsid w:val="00326F90"/>
    <w:pPr>
      <w:numPr>
        <w:ilvl w:val="0"/>
        <w:numId w:val="3"/>
      </w:numPr>
      <w:spacing w:after="100" w:before="0"/>
      <w:contextualSpacing w:val="1"/>
    </w:pPr>
    <w:rPr/>
  </w:style>
  <w:style w:type="paragraph" w:styleId="ListNumber">
    <w:name w:val="List Number"/>
    <w:basedOn w:val="Normal"/>
    <w:uiPriority w:val="99"/>
    <w:unhideWhenUsed w:val="1"/>
    <w:rsid w:val="00326F90"/>
    <w:pPr>
      <w:numPr>
        <w:ilvl w:val="0"/>
        <w:numId w:val="4"/>
      </w:numPr>
      <w:spacing w:after="100" w:before="0"/>
      <w:contextualSpacing w:val="1"/>
    </w:pPr>
    <w:rPr/>
  </w:style>
  <w:style w:type="paragraph" w:styleId="ListNumber2">
    <w:name w:val="List Number 2"/>
    <w:basedOn w:val="Normal"/>
    <w:uiPriority w:val="99"/>
    <w:unhideWhenUsed w:val="1"/>
    <w:rsid w:val="0029639D"/>
    <w:pPr>
      <w:numPr>
        <w:ilvl w:val="0"/>
        <w:numId w:val="5"/>
      </w:numPr>
      <w:spacing w:after="100" w:before="0"/>
      <w:contextualSpacing w:val="1"/>
    </w:pPr>
    <w:rPr/>
  </w:style>
  <w:style w:type="paragraph" w:styleId="ListNumber3">
    <w:name w:val="List Number 3"/>
    <w:basedOn w:val="Normal"/>
    <w:uiPriority w:val="99"/>
    <w:unhideWhenUsed w:val="1"/>
    <w:rsid w:val="0029639D"/>
    <w:pPr>
      <w:numPr>
        <w:ilvl w:val="0"/>
        <w:numId w:val="6"/>
      </w:numPr>
      <w:spacing w:after="100" w:before="0"/>
      <w:contextualSpacing w:val="1"/>
    </w:pPr>
    <w:rPr/>
  </w:style>
  <w:style w:type="paragraph" w:styleId="ListContinue">
    <w:name w:val="List Continue"/>
    <w:basedOn w:val="Normal"/>
    <w:uiPriority w:val="99"/>
    <w:unhideWhenUsed w:val="1"/>
    <w:rsid w:val="0029639D"/>
    <w:pPr>
      <w:spacing w:after="120" w:before="0"/>
      <w:ind w:start="360"/>
      <w:contextualSpacing w:val="1"/>
    </w:pPr>
    <w:rPr/>
  </w:style>
  <w:style w:type="paragraph" w:styleId="ListContinue2">
    <w:name w:val="List Continue 2"/>
    <w:basedOn w:val="Normal"/>
    <w:uiPriority w:val="99"/>
    <w:unhideWhenUsed w:val="1"/>
    <w:rsid w:val="0029639D"/>
    <w:pPr>
      <w:spacing w:after="120" w:before="0"/>
      <w:ind w:start="720"/>
      <w:contextualSpacing w:val="1"/>
    </w:pPr>
    <w:rPr/>
  </w:style>
  <w:style w:type="paragraph" w:styleId="ListContinue3">
    <w:name w:val="List Continue 3"/>
    <w:basedOn w:val="Normal"/>
    <w:uiPriority w:val="99"/>
    <w:unhideWhenUsed w:val="1"/>
    <w:rsid w:val="0029639D"/>
    <w:pPr>
      <w:spacing w:after="120" w:before="0"/>
      <w:ind w:start="1080"/>
      <w:contextualSpacing w:val="1"/>
    </w:pPr>
    <w:rPr/>
  </w:style>
  <w:style w:type="paragraph" w:styleId="MacroText">
    <w:name w:val="macro"/>
    <w:link w:val="MacroTextChar"/>
    <w:uiPriority w:val="99"/>
    <w:unhideWhenUsed w:val="1"/>
    <w:qFormat w:val="1"/>
    <w:rsid w:val="0029639D"/>
    <w:pPr>
      <w:widowControl w:val="1"/>
      <w:tabs>
        <w:tab w:val="clear" w:pos="720"/>
        <w:tab w:val="left" w:leader="none" w:pos="576"/>
        <w:tab w:val="left" w:leader="none" w:pos="1152"/>
        <w:tab w:val="left" w:leader="none" w:pos="1728"/>
        <w:tab w:val="left" w:leader="none" w:pos="2304"/>
        <w:tab w:val="left" w:leader="none" w:pos="2880"/>
        <w:tab w:val="left" w:leader="none" w:pos="3456"/>
        <w:tab w:val="left" w:leader="none" w:pos="4032"/>
      </w:tabs>
      <w:suppressAutoHyphens w:val="1"/>
      <w:bidi w:val="0"/>
      <w:spacing w:after="200" w:before="0" w:line="276" w:lineRule="auto"/>
      <w:jc/>
    </w:pPr>
    <w:rPr>
      <w:rFonts w:ascii="Courier" w:cs="" w:eastAsia="" w:hAnsi="Courier" w:cstheme="minorBidi" w:eastAsiaTheme="minorEastAsia"/>
      <w:color w:val="auto"/>
      <w:kern w:val="0"/>
      <w:sz w:val="20"/>
      <w:szCs w:val="20"/>
      <w:lang w:bidi="ar-SA" w:eastAsia="en-US" w:val="en-US"/>
    </w:rPr>
  </w:style>
  <w:style w:type="paragraph" w:styleId="Quote">
    <w:name w:val="Quote"/>
    <w:basedOn w:val="Normal"/>
    <w:next w:val="Normal"/>
    <w:link w:val="QuoteChar"/>
    <w:uiPriority w:val="29"/>
    <w:qFormat w:val="1"/>
    <w:rsid w:val="00FC693F"/>
    <w:pPr/>
    <w:rPr>
      <w:i w:val="1"/>
      <w:iCs w:val="1"/>
      <w:color w:val="000000" w:themeColor="text1"/>
    </w:rPr>
  </w:style>
  <w:style w:type="paragraph" w:styleId="IntenseQuote">
    <w:name w:val="Intense Quote"/>
    <w:basedOn w:val="Normal"/>
    <w:next w:val="Normal"/>
    <w:link w:val="IntenseQuoteChar"/>
    <w:uiPriority w:val="30"/>
    <w:qFormat w:val="1"/>
    <w:rsid w:val="00FC693F"/>
    <w:pPr>
      <w:pBdr>
        <w:bottom w:color="4f81bd" w:space="4" w:sz="4" w:themeColor="accent1" w:val="single"/>
      </w:pBdr>
      <w:spacing w:after="280" w:before="200"/>
      <w:ind w:start="936" w:end="936"/>
    </w:pPr>
    <w:rPr>
      <w:b w:val="1"/>
      <w:bCs w:val="1"/>
      <w:i w:val="1"/>
      <w:iCs w:val="1"/>
      <w:color w:val="4f81bd" w:themeColor="accent1"/>
    </w:rPr>
  </w:style>
  <w:style w:type="paragraph" w:styleId="IndexHeading">
    <w:name w:val="index heading"/>
    <w:basedOn w:val="Heading"/>
    <w:pPr/>
    <w:rPr/>
  </w:style>
  <w:style w:type="paragraph" w:styleId="TOCHeading">
    <w:name w:val="TOC Heading"/>
    <w:basedOn w:val="Heading1"/>
    <w:next w:val="Normal"/>
    <w:uiPriority w:val="39"/>
    <w:semiHidden w:val="1"/>
    <w:unhideWhenUsed w:val="1"/>
    <w:qFormat w:val="1"/>
    <w:rsid w:val="00FC693F"/>
    <w:pPr>
      <w:outlineLvl w:val="9"/>
    </w:pPr>
    <w:rPr/>
  </w:style>
  <w:style w:type="numbering" w:styleId="NoList" w:default="1">
    <w:name w:val="No List"/>
    <w:uiPriority w:val="99"/>
    <w:semiHidden w:val="1"/>
    <w:unhideWhenUsed w:val="1"/>
    <w:qFormat w:val="1"/>
  </w:style>
  <w:style w:type="table" w:styleId="TableNormal" w:default="1">
    <w:name w:val="Normal Table"/>
    <w:uiPriority w:val="99"/>
    <w:semiHidden w:val="1"/>
    <w:unhideWhenUsed w:val="1"/>
    <w:tblPr>
      <w:tblCellMar>
        <w:top w:w="0.0" w:type="dxa"/>
        <w:left w:w="108.0" w:type="dxa"/>
        <w:bottom w:w="0.0" w:type="dxa"/>
        <w:right w:w="108.0" w:type="dxa"/>
      </w:tblCellMar>
    </w:tblPr>
  </w:style>
  <w:style w:type="table" w:styleId="TableGrid">
    <w:name w:val="Table Grid"/>
    <w:basedOn w:val="TableNormal"/>
    <w:uiPriority w:val="59"/>
    <w:rsid w:val="00FC693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LightShading">
    <w:name w:val="Light Shading"/>
    <w:basedOn w:val="TableNormal"/>
    <w:uiPriority w:val="60"/>
    <w:rsid w:val="00FC693F"/>
    <w:pPr>
      <w:spacing w:after="0" w:line="240" w:lineRule="auto"/>
    </w:pPr>
    <w:rPr>
      <w:color w:val="000000" w:themeColor="text1" w:themeShade="0000BF"/>
    </w:rPr>
    <w:tblPr>
      <w:tblStyleRowBandSize w:val="1"/>
      <w:tblStyleColBandSize w:val="1"/>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Pr/>
    </w:tblStylePr>
    <w:tblStylePr w:type="lastCol">
      <w:rPr>
        <w:b w:val="1"/>
        <w:bCs w:val="1"/>
      </w:rPr>
      <w:tbl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LightShading-Accent1">
    <w:name w:val="Light Shading Accent 1"/>
    <w:basedOn w:val="TableNormal"/>
    <w:uiPriority w:val="60"/>
    <w:rsid w:val="00FC693F"/>
    <w:pPr>
      <w:spacing w:after="0" w:line="240" w:lineRule="auto"/>
    </w:pPr>
    <w:rPr>
      <w:color w:val="365f91" w:themeColor="accent1" w:themeShade="0000BF"/>
    </w:rPr>
    <w:tblPr>
      <w:tblStyleRowBandSize w:val="1"/>
      <w:tblStyleColBandSize w:val="1"/>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Pr/>
    </w:tblStylePr>
    <w:tblStylePr w:type="lastCol">
      <w:rPr>
        <w:b w:val="1"/>
        <w:bCs w:val="1"/>
      </w:rPr>
      <w:tbl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LightShading-Accent2">
    <w:name w:val="Light Shading Accent 2"/>
    <w:basedOn w:val="TableNormal"/>
    <w:uiPriority w:val="60"/>
    <w:rsid w:val="00FC693F"/>
    <w:pPr>
      <w:spacing w:after="0" w:line="240" w:lineRule="auto"/>
    </w:pPr>
    <w:rPr>
      <w:color w:val="943634" w:themeColor="accent2" w:themeShade="0000BF"/>
    </w:rPr>
    <w:tblPr>
      <w:tblStyleRowBandSize w:val="1"/>
      <w:tblStyleColBandSize w:val="1"/>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firstCol">
      <w:rPr>
        <w:b w:val="1"/>
        <w:bCs w:val="1"/>
      </w:rPr>
      <w:tblPr/>
    </w:tblStylePr>
    <w:tblStylePr w:type="lastCol">
      <w:rPr>
        <w:b w:val="1"/>
        <w:bCs w:val="1"/>
      </w:rPr>
      <w:tbl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left w:space="0" w:sz="0" w:val="nil"/>
          <w:right w:space="0" w:sz="0" w:val="nil"/>
          <w:insideH w:space="0" w:sz="0" w:val="nil"/>
          <w:insideV w:space="0" w:sz="0" w:val="nil"/>
        </w:tcBorders>
        <w:shd w:color="auto" w:fill="efd3d2" w:themeFill="accent2" w:themeFillTint="00003F" w:val="clear"/>
      </w:tcPr>
    </w:tblStylePr>
  </w:style>
  <w:style w:type="table" w:styleId="LightShading-Accent3">
    <w:name w:val="Light Shading Accent 3"/>
    <w:basedOn w:val="TableNormal"/>
    <w:uiPriority w:val="60"/>
    <w:rsid w:val="00FC693F"/>
    <w:pPr>
      <w:spacing w:after="0" w:line="240" w:lineRule="auto"/>
    </w:pPr>
    <w:rPr>
      <w:color w:val="76923c" w:themeColor="accent3" w:themeShade="0000BF"/>
    </w:rPr>
    <w:tblPr>
      <w:tblStyleRowBandSize w:val="1"/>
      <w:tblStyleColBandSize w:val="1"/>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firstCol">
      <w:rPr>
        <w:b w:val="1"/>
        <w:bCs w:val="1"/>
      </w:rPr>
      <w:tblPr/>
    </w:tblStylePr>
    <w:tblStylePr w:type="lastCol">
      <w:rPr>
        <w:b w:val="1"/>
        <w:bCs w:val="1"/>
      </w:rPr>
      <w:tbl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left w:space="0" w:sz="0" w:val="nil"/>
          <w:right w:space="0" w:sz="0" w:val="nil"/>
          <w:insideH w:space="0" w:sz="0" w:val="nil"/>
          <w:insideV w:space="0" w:sz="0" w:val="nil"/>
        </w:tcBorders>
        <w:shd w:color="auto" w:fill="e6eed5" w:themeFill="accent3" w:themeFillTint="00003F" w:val="clear"/>
      </w:tcPr>
    </w:tblStylePr>
  </w:style>
  <w:style w:type="table" w:styleId="LightShading-Accent4">
    <w:name w:val="Light Shading Accent 4"/>
    <w:basedOn w:val="TableNormal"/>
    <w:uiPriority w:val="60"/>
    <w:rsid w:val="00FC693F"/>
    <w:pPr>
      <w:spacing w:after="0" w:line="240" w:lineRule="auto"/>
    </w:pPr>
    <w:rPr>
      <w:color w:val="5f497a" w:themeColor="accent4" w:themeShade="0000BF"/>
    </w:rPr>
    <w:tblPr>
      <w:tblStyleRowBandSize w:val="1"/>
      <w:tblStyleColBandSize w:val="1"/>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firstCol">
      <w:rPr>
        <w:b w:val="1"/>
        <w:bCs w:val="1"/>
      </w:rPr>
      <w:tblPr/>
    </w:tblStylePr>
    <w:tblStylePr w:type="lastCol">
      <w:rPr>
        <w:b w:val="1"/>
        <w:bCs w:val="1"/>
      </w:rPr>
      <w:tbl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left w:space="0" w:sz="0" w:val="nil"/>
          <w:right w:space="0" w:sz="0" w:val="nil"/>
          <w:insideH w:space="0" w:sz="0" w:val="nil"/>
          <w:insideV w:space="0" w:sz="0" w:val="nil"/>
        </w:tcBorders>
        <w:shd w:color="auto" w:fill="dfd8e8" w:themeFill="accent4" w:themeFillTint="00003F" w:val="clear"/>
      </w:tcPr>
    </w:tblStylePr>
  </w:style>
  <w:style w:type="table" w:styleId="LightShading-Accent5">
    <w:name w:val="Light Shading Accent 5"/>
    <w:basedOn w:val="TableNormal"/>
    <w:uiPriority w:val="60"/>
    <w:rsid w:val="00FC693F"/>
    <w:pPr>
      <w:spacing w:after="0" w:line="240" w:lineRule="auto"/>
    </w:pPr>
    <w:rPr>
      <w:color w:val="31849b" w:themeColor="accent5" w:themeShade="0000BF"/>
    </w:rPr>
    <w:tblPr>
      <w:tblStyleRowBandSize w:val="1"/>
      <w:tblStyleColBandSize w:val="1"/>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firstCol">
      <w:rPr>
        <w:b w:val="1"/>
        <w:bCs w:val="1"/>
      </w:rPr>
      <w:tblPr/>
    </w:tblStylePr>
    <w:tblStylePr w:type="lastCol">
      <w:rPr>
        <w:b w:val="1"/>
        <w:bCs w:val="1"/>
      </w:rPr>
      <w:tbl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left w:space="0" w:sz="0" w:val="nil"/>
          <w:right w:space="0" w:sz="0" w:val="nil"/>
          <w:insideH w:space="0" w:sz="0" w:val="nil"/>
          <w:insideV w:space="0" w:sz="0" w:val="nil"/>
        </w:tcBorders>
        <w:shd w:color="auto" w:fill="d2eaf1" w:themeFill="accent5" w:themeFillTint="00003F" w:val="clear"/>
      </w:tcPr>
    </w:tblStylePr>
  </w:style>
  <w:style w:type="table" w:styleId="LightShading-Accent6">
    <w:name w:val="Light Shading Accent 6"/>
    <w:basedOn w:val="TableNormal"/>
    <w:uiPriority w:val="60"/>
    <w:rsid w:val="00FC693F"/>
    <w:pPr>
      <w:spacing w:after="0" w:line="240" w:lineRule="auto"/>
    </w:pPr>
    <w:rPr>
      <w:color w:val="e36c0a" w:themeColor="accent6" w:themeShade="0000BF"/>
    </w:rPr>
    <w:tblPr>
      <w:tblStyleRowBandSize w:val="1"/>
      <w:tblStyleColBandSize w:val="1"/>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firstCol">
      <w:rPr>
        <w:b w:val="1"/>
        <w:bCs w:val="1"/>
      </w:rPr>
      <w:tblPr/>
    </w:tblStylePr>
    <w:tblStylePr w:type="lastCol">
      <w:rPr>
        <w:b w:val="1"/>
        <w:bCs w:val="1"/>
      </w:rPr>
      <w:tbl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left w:space="0" w:sz="0" w:val="nil"/>
          <w:right w:space="0" w:sz="0" w:val="nil"/>
          <w:insideH w:space="0" w:sz="0" w:val="nil"/>
          <w:insideV w:space="0" w:sz="0" w:val="nil"/>
        </w:tcBorders>
        <w:shd w:color="auto" w:fill="fde4d0" w:themeFill="accent6" w:themeFillTint="00003F" w:val="clear"/>
      </w:tcPr>
    </w:tblStylePr>
  </w:style>
  <w:style w:type="table" w:styleId="LightList">
    <w:name w:val="Light List"/>
    <w:basedOn w:val="TableNormal"/>
    <w:uiPriority w:val="61"/>
    <w:rsid w:val="00FC693F"/>
    <w:pPr>
      <w:spacing w:after="0" w:line="240" w:lineRule="auto"/>
    </w:p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Pr/>
    </w:tblStylePr>
    <w:tblStylePr w:type="lastCol">
      <w:rPr>
        <w:b w:val="1"/>
        <w:bCs w:val="1"/>
      </w:rPr>
      <w:tbl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Pr/>
    </w:tblStylePr>
    <w:tblStylePr w:type="lastCol">
      <w:rPr>
        <w:b w:val="1"/>
        <w:bCs w:val="1"/>
      </w:rPr>
      <w:tbl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Pr/>
    </w:tblStylePr>
    <w:tblStylePr w:type="lastCol">
      <w:rPr>
        <w:b w:val="1"/>
        <w:bCs w:val="1"/>
      </w:rPr>
      <w:tbl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9bbb59" w:themeFill="accent3" w:val="clear"/>
      </w:tcPr>
    </w:tblStylePr>
    <w:tblStylePr w:type="lastRow">
      <w:pPr>
        <w:spacing w:after="0" w:before="0" w:line="240" w:lineRule="auto"/>
      </w:pPr>
      <w:rPr>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val="1"/>
        <w:bCs w:val="1"/>
      </w:rPr>
      <w:tblPr/>
    </w:tblStylePr>
    <w:tblStylePr w:type="lastCol">
      <w:rPr>
        <w:b w:val="1"/>
        <w:bCs w:val="1"/>
      </w:rPr>
      <w:tbl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Pr/>
    </w:tblStylePr>
    <w:tblStylePr w:type="lastCol">
      <w:rPr>
        <w:b w:val="1"/>
        <w:bCs w:val="1"/>
      </w:rPr>
      <w:tbl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Pr/>
    </w:tblStylePr>
    <w:tblStylePr w:type="lastCol">
      <w:rPr>
        <w:b w:val="1"/>
        <w:bCs w:val="1"/>
      </w:rPr>
      <w:tbl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f79646" w:themeFill="accent6" w:val="clear"/>
      </w:tcPr>
    </w:tblStylePr>
    <w:tblStylePr w:type="lastRow">
      <w:pPr>
        <w:spacing w:after="0" w:before="0" w:line="240" w:lineRule="auto"/>
      </w:pPr>
      <w:rPr>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val="1"/>
        <w:bCs w:val="1"/>
      </w:rPr>
      <w:tblPr/>
    </w:tblStylePr>
    <w:tblStylePr w:type="lastCol">
      <w:rPr>
        <w:b w:val="1"/>
        <w:bCs w:val="1"/>
      </w:rPr>
      <w:tbl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space="0" w:sz="0"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space="0" w:sz="0" w:val="nil"/>
          <w:insideV w:color="9bbb59" w:space="0" w:sz="8" w:themeColor="accent3" w:val="single"/>
        </w:tcBorders>
      </w:tcPr>
    </w:tblStylePr>
    <w:tblStylePr w:type="firstCol">
      <w:rPr>
        <w:rFonts w:asciiTheme="majorHAnsi" w:cstheme="majorBidi" w:eastAsiaTheme="majorEastAsia" w:hAnsiTheme="majorHAnsi"/>
        <w:b w:val="1"/>
        <w:bCs w:val="1"/>
      </w:rPr>
      <w:tblPr/>
    </w:tblStylePr>
    <w:tblStylePr w:type="lastCol">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0000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0000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space="0" w:sz="0"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space="0" w:sz="0" w:val="nil"/>
          <w:insideV w:color="8064a2" w:space="0" w:sz="8" w:themeColor="accent4" w:val="single"/>
        </w:tcBorders>
      </w:tcPr>
    </w:tblStylePr>
    <w:tblStylePr w:type="firstCol">
      <w:rPr>
        <w:rFonts w:asciiTheme="majorHAnsi" w:cstheme="majorBidi" w:eastAsiaTheme="majorEastAsia" w:hAnsiTheme="majorHAnsi"/>
        <w:b w:val="1"/>
        <w:bCs w:val="1"/>
      </w:rPr>
      <w:tblPr/>
    </w:tblStylePr>
    <w:tblStylePr w:type="lastCol">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0000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0000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space="0" w:sz="0"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space="0" w:sz="0" w:val="nil"/>
          <w:insideV w:color="f79646" w:space="0" w:sz="8" w:themeColor="accent6" w:val="single"/>
        </w:tcBorders>
      </w:tcPr>
    </w:tblStylePr>
    <w:tblStylePr w:type="firstCol">
      <w:rPr>
        <w:rFonts w:asciiTheme="majorHAnsi" w:cstheme="majorBidi" w:eastAsiaTheme="majorEastAsia" w:hAnsiTheme="majorHAnsi"/>
        <w:b w:val="1"/>
        <w:bCs w:val="1"/>
      </w:rPr>
      <w:tblPr/>
    </w:tblStylePr>
    <w:tblStylePr w:type="lastCol">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0000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0000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404040" w:space="0" w:sz="8" w:themeColor="text1" w:val="single"/>
          <w:left w:color="404040" w:space="0" w:sz="8" w:themeColor="text1" w:val="single"/>
          <w:bottom w:color="404040" w:space="0" w:sz="8" w:themeColor="text1" w:val="single"/>
          <w:right w:color="404040" w:space="0" w:sz="8" w:themeColor="text1"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val="double"/>
          <w:left w:color="404040" w:space="0" w:sz="8" w:themeColor="text1" w:val="single"/>
          <w:bottom w:color="404040" w:space="0" w:sz="8" w:themeColor="text1" w:val="single"/>
          <w:right w:color="404040" w:space="0" w:sz="8" w:themeColor="text1" w:val="single"/>
          <w:insideH w:space="0" w:sz="0" w:val="nil"/>
          <w:insideV w:space="0" w:sz="0" w:val="nil"/>
        </w:tcBorders>
      </w:tcPr>
    </w:tblStylePr>
    <w:tblStylePr w:type="firstCol">
      <w:rPr>
        <w:b w:val="1"/>
        <w:bCs w:val="1"/>
      </w:rPr>
      <w:tblPr/>
    </w:tblStylePr>
    <w:tblStylePr w:type="lastCol">
      <w:rPr>
        <w:b w:val="1"/>
        <w:bCs w:val="1"/>
      </w:rPr>
      <w:tbl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ba0cd" w:space="0" w:sz="8" w:themeColor="accent1" w:val="single"/>
          <w:left w:color="7ba0cd" w:space="0" w:sz="8" w:themeColor="accent1" w:val="single"/>
          <w:bottom w:color="7ba0cd" w:space="0" w:sz="8" w:themeColor="accent1" w:val="single"/>
          <w:right w:color="7ba0cd" w:space="0" w:sz="8" w:themeColor="accent1"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val="double"/>
          <w:left w:color="7ba0cd" w:space="0" w:sz="8" w:themeColor="accent1" w:val="single"/>
          <w:bottom w:color="7ba0cd" w:space="0" w:sz="8" w:themeColor="accent1" w:val="single"/>
          <w:right w:color="7ba0cd" w:space="0" w:sz="8" w:themeColor="accent1" w:val="single"/>
          <w:insideH w:space="0" w:sz="0" w:val="nil"/>
          <w:insideV w:space="0" w:sz="0" w:val="nil"/>
        </w:tcBorders>
      </w:tcPr>
    </w:tblStylePr>
    <w:tblStylePr w:type="firstCol">
      <w:rPr>
        <w:b w:val="1"/>
        <w:bCs w:val="1"/>
      </w:rPr>
      <w:tblPr/>
    </w:tblStylePr>
    <w:tblStylePr w:type="lastCol">
      <w:rPr>
        <w:b w:val="1"/>
        <w:bCs w:val="1"/>
      </w:rPr>
      <w:tbl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cf7b79" w:space="0" w:sz="8" w:themeColor="accent2" w:val="single"/>
          <w:left w:color="cf7b79" w:space="0" w:sz="8" w:themeColor="accent2" w:val="single"/>
          <w:bottom w:color="cf7b79" w:space="0" w:sz="8" w:themeColor="accent2" w:val="single"/>
          <w:right w:color="cf7b79" w:space="0" w:sz="8" w:themeColor="accent2"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val="double"/>
          <w:left w:color="cf7b79" w:space="0" w:sz="8" w:themeColor="accent2" w:val="single"/>
          <w:bottom w:color="cf7b79" w:space="0" w:sz="8" w:themeColor="accent2" w:val="single"/>
          <w:right w:color="cf7b79" w:space="0" w:sz="8" w:themeColor="accent2" w:val="single"/>
          <w:insideH w:space="0" w:sz="0" w:val="nil"/>
          <w:insideV w:space="0" w:sz="0" w:val="nil"/>
        </w:tcBorders>
      </w:tcPr>
    </w:tblStylePr>
    <w:tblStylePr w:type="firstCol">
      <w:rPr>
        <w:b w:val="1"/>
        <w:bCs w:val="1"/>
      </w:rPr>
      <w:tblPr/>
    </w:tblStylePr>
    <w:tblStylePr w:type="lastCol">
      <w:rPr>
        <w:b w:val="1"/>
        <w:bCs w:val="1"/>
      </w:rPr>
      <w:tbl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b3cc82" w:space="0" w:sz="8" w:themeColor="accent3" w:val="single"/>
          <w:left w:color="b3cc82" w:space="0" w:sz="8" w:themeColor="accent3" w:val="single"/>
          <w:bottom w:color="b3cc82" w:space="0" w:sz="8" w:themeColor="accent3" w:val="single"/>
          <w:right w:color="b3cc82" w:space="0" w:sz="8" w:themeColor="accent3" w:val="single"/>
          <w:insideH w:space="0" w:sz="0" w:val="nil"/>
          <w:insideV w:space="0" w:sz="0" w:val="nil"/>
        </w:tcBorders>
        <w:shd w:color="auto" w:fill="9bbb59" w:themeFill="accent3" w:val="clear"/>
      </w:tcPr>
    </w:tblStylePr>
    <w:tblStylePr w:type="lastRow">
      <w:pPr>
        <w:spacing w:after="0" w:before="0" w:line="240" w:lineRule="auto"/>
      </w:pPr>
      <w:rPr>
        <w:b w:val="1"/>
        <w:bCs w:val="1"/>
      </w:rPr>
      <w:tblPr/>
      <w:tcPr>
        <w:tcBorders>
          <w:top w:color="b3cc82" w:space="0" w:sz="6" w:themeColor="accent3" w:val="double"/>
          <w:left w:color="b3cc82" w:space="0" w:sz="8" w:themeColor="accent3" w:val="single"/>
          <w:bottom w:color="b3cc82" w:space="0" w:sz="8" w:themeColor="accent3" w:val="single"/>
          <w:right w:color="b3cc82" w:space="0" w:sz="8" w:themeColor="accent3" w:val="single"/>
          <w:insideH w:space="0" w:sz="0" w:val="nil"/>
          <w:insideV w:space="0" w:sz="0" w:val="nil"/>
        </w:tcBorders>
      </w:tcPr>
    </w:tblStylePr>
    <w:tblStylePr w:type="firstCol">
      <w:rPr>
        <w:b w:val="1"/>
        <w:bCs w:val="1"/>
      </w:rPr>
      <w:tblPr/>
    </w:tblStylePr>
    <w:tblStylePr w:type="lastCol">
      <w:rPr>
        <w:b w:val="1"/>
        <w:bCs w:val="1"/>
      </w:rPr>
      <w:tblPr/>
    </w:tblStylePr>
    <w:tblStylePr w:type="band1Vert">
      <w:tblPr/>
      <w:tcPr>
        <w:shd w:color="auto" w:fill="e6eed5" w:themeFill="accent3" w:themeFillTint="00003F" w:val="clear"/>
      </w:tcPr>
    </w:tblStylePr>
    <w:tblStylePr w:type="band1Horz">
      <w:tblPr/>
      <w:tcPr>
        <w:tcBorders>
          <w:insideH w:space="0" w:sz="0" w:val="nil"/>
          <w:insideV w:space="0" w:sz="0" w:val="nil"/>
        </w:tcBorders>
        <w:shd w:color="auto" w:fill="e6eed5" w:themeFill="accent3" w:themeFillTint="00003F"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9f8ab9" w:space="0" w:sz="8" w:themeColor="accent4" w:val="single"/>
          <w:left w:color="9f8ab9" w:space="0" w:sz="8" w:themeColor="accent4" w:val="single"/>
          <w:bottom w:color="9f8ab9" w:space="0" w:sz="8" w:themeColor="accent4" w:val="single"/>
          <w:right w:color="9f8ab9" w:space="0" w:sz="8" w:themeColor="accent4" w:val="single"/>
          <w:insideH w:space="0" w:sz="0" w:val="nil"/>
          <w:insideV w:space="0" w:sz="0" w:val="nil"/>
        </w:tcBorders>
        <w:shd w:color="auto" w:fill="8064a2" w:themeFill="accent4" w:val="clear"/>
      </w:tcPr>
    </w:tblStylePr>
    <w:tblStylePr w:type="lastRow">
      <w:pPr>
        <w:spacing w:after="0" w:before="0" w:line="240" w:lineRule="auto"/>
      </w:pPr>
      <w:rPr>
        <w:b w:val="1"/>
        <w:bCs w:val="1"/>
      </w:rPr>
      <w:tblPr/>
      <w:tcPr>
        <w:tcBorders>
          <w:top w:color="9f8ab9" w:space="0" w:sz="6" w:themeColor="accent4" w:val="double"/>
          <w:left w:color="9f8ab9" w:space="0" w:sz="8" w:themeColor="accent4" w:val="single"/>
          <w:bottom w:color="9f8ab9" w:space="0" w:sz="8" w:themeColor="accent4" w:val="single"/>
          <w:right w:color="9f8ab9" w:space="0" w:sz="8" w:themeColor="accent4" w:val="single"/>
          <w:insideH w:space="0" w:sz="0" w:val="nil"/>
          <w:insideV w:space="0" w:sz="0" w:val="nil"/>
        </w:tcBorders>
      </w:tcPr>
    </w:tblStylePr>
    <w:tblStylePr w:type="firstCol">
      <w:rPr>
        <w:b w:val="1"/>
        <w:bCs w:val="1"/>
      </w:rPr>
      <w:tblPr/>
    </w:tblStylePr>
    <w:tblStylePr w:type="lastCol">
      <w:rPr>
        <w:b w:val="1"/>
        <w:bCs w:val="1"/>
      </w:rPr>
      <w:tblPr/>
    </w:tblStylePr>
    <w:tblStylePr w:type="band1Vert">
      <w:tblPr/>
      <w:tcPr>
        <w:shd w:color="auto" w:fill="dfd8e8" w:themeFill="accent4" w:themeFillTint="00003F" w:val="clear"/>
      </w:tcPr>
    </w:tblStylePr>
    <w:tblStylePr w:type="band1Horz">
      <w:tblPr/>
      <w:tcPr>
        <w:tcBorders>
          <w:insideH w:space="0" w:sz="0" w:val="nil"/>
          <w:insideV w:space="0" w:sz="0" w:val="nil"/>
        </w:tcBorders>
        <w:shd w:color="auto" w:fill="dfd8e8" w:themeFill="accent4" w:themeFillTint="00003F"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8c0d4" w:space="0" w:sz="8" w:themeColor="accent5" w:val="single"/>
          <w:left w:color="78c0d4" w:space="0" w:sz="8" w:themeColor="accent5" w:val="single"/>
          <w:bottom w:color="78c0d4" w:space="0" w:sz="8" w:themeColor="accent5" w:val="single"/>
          <w:right w:color="78c0d4" w:space="0" w:sz="8" w:themeColor="accent5"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val="double"/>
          <w:left w:color="78c0d4" w:space="0" w:sz="8" w:themeColor="accent5" w:val="single"/>
          <w:bottom w:color="78c0d4" w:space="0" w:sz="8" w:themeColor="accent5" w:val="single"/>
          <w:right w:color="78c0d4" w:space="0" w:sz="8" w:themeColor="accent5" w:val="single"/>
          <w:insideH w:space="0" w:sz="0" w:val="nil"/>
          <w:insideV w:space="0" w:sz="0" w:val="nil"/>
        </w:tcBorders>
      </w:tcPr>
    </w:tblStylePr>
    <w:tblStylePr w:type="firstCol">
      <w:rPr>
        <w:b w:val="1"/>
        <w:bCs w:val="1"/>
      </w:rPr>
      <w:tblPr/>
    </w:tblStylePr>
    <w:tblStylePr w:type="lastCol">
      <w:rPr>
        <w:b w:val="1"/>
        <w:bCs w:val="1"/>
      </w:rPr>
      <w:tbl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f9b074" w:space="0" w:sz="8" w:themeColor="accent6" w:val="single"/>
          <w:left w:color="f9b074" w:space="0" w:sz="8" w:themeColor="accent6" w:val="single"/>
          <w:bottom w:color="f9b074" w:space="0" w:sz="8" w:themeColor="accent6" w:val="single"/>
          <w:right w:color="f9b074" w:space="0" w:sz="8" w:themeColor="accent6"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val="double"/>
          <w:left w:color="f9b074" w:space="0" w:sz="8" w:themeColor="accent6" w:val="single"/>
          <w:bottom w:color="f9b074" w:space="0" w:sz="8" w:themeColor="accent6" w:val="single"/>
          <w:right w:color="f9b074" w:space="0" w:sz="8" w:themeColor="accent6" w:val="single"/>
          <w:insideH w:space="0" w:sz="0" w:val="nil"/>
          <w:insideV w:space="0" w:sz="0" w:val="nil"/>
        </w:tcBorders>
      </w:tcPr>
    </w:tblStylePr>
    <w:tblStylePr w:type="firstCol">
      <w:rPr>
        <w:b w:val="1"/>
        <w:bCs w:val="1"/>
      </w:rPr>
      <w:tblPr/>
    </w:tblStylePr>
    <w:tblStylePr w:type="lastCol">
      <w:rPr>
        <w:b w:val="1"/>
        <w:bCs w:val="1"/>
      </w:rPr>
      <w:tbl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9bbb59" w:themeFill="accent3" w:val="clear"/>
      </w:tcPr>
    </w:tblStylePr>
    <w:tblStylePr w:type="lastRow">
      <w:pPr>
        <w:spacing w:after="0" w:before="0" w:line="240" w:lineRule="auto"/>
      </w:p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9bbb59"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9bbb59"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79646" w:themeFill="accent6" w:val="clear"/>
      </w:tcPr>
    </w:tblStylePr>
    <w:tblStylePr w:type="lastRow">
      <w:pPr>
        <w:spacing w:after="0" w:before="0" w:line="240" w:lineRule="auto"/>
      </w:p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f79646"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79646"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1f497d" w:themeColor="text2"/>
      </w:rPr>
      <w:tblPr/>
      <w:tcPr>
        <w:tcBorders>
          <w:top w:color="000000" w:space="0" w:sz="8" w:themeColor="text1" w:val="single"/>
          <w:bottom w:color="000000" w:space="0" w:sz="8" w:themeColor="text1" w:val="single"/>
        </w:tcBorders>
      </w:tcPr>
    </w:tblStylePr>
    <w:tblStylePr w:type="firstCol">
      <w:rPr>
        <w:b w:val="1"/>
        <w:bCs w:val="1"/>
      </w:rPr>
      <w:tbl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f81bd" w:space="0" w:sz="8" w:themeColor="accent1" w:val="single"/>
        </w:tcBorders>
      </w:tcPr>
    </w:tblStylePr>
    <w:tblStylePr w:type="lastRow">
      <w:rPr>
        <w:b w:val="1"/>
        <w:bCs w:val="1"/>
        <w:color w:val="1f497d" w:themeColor="text2"/>
      </w:rPr>
      <w:tblPr/>
      <w:tcPr>
        <w:tcBorders>
          <w:top w:color="4f81bd" w:space="0" w:sz="8" w:themeColor="accent1" w:val="single"/>
          <w:bottom w:color="4f81bd" w:space="0" w:sz="8" w:themeColor="accent1" w:val="single"/>
        </w:tcBorders>
      </w:tcPr>
    </w:tblStylePr>
    <w:tblStylePr w:type="firstCol">
      <w:rPr>
        <w:b w:val="1"/>
        <w:bCs w:val="1"/>
      </w:rPr>
      <w:tblPr/>
    </w:tblStylePr>
    <w:tblStylePr w:type="lastCol">
      <w:rPr>
        <w:b w:val="1"/>
        <w:bCs w:val="1"/>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00003F" w:val="clear"/>
      </w:tcPr>
    </w:tblStylePr>
    <w:tblStylePr w:type="band1Horz">
      <w:tblPr/>
      <w:tcPr>
        <w:shd w:color="auto" w:fill="d3dfee" w:themeFill="accent1" w:themeFillTint="00003F" w:val="clear"/>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c0504d" w:space="0" w:sz="8" w:themeColor="accent2" w:val="single"/>
        </w:tcBorders>
      </w:tcPr>
    </w:tblStylePr>
    <w:tblStylePr w:type="lastRow">
      <w:rPr>
        <w:b w:val="1"/>
        <w:bCs w:val="1"/>
        <w:color w:val="1f497d" w:themeColor="text2"/>
      </w:rPr>
      <w:tblPr/>
      <w:tcPr>
        <w:tcBorders>
          <w:top w:color="c0504d" w:space="0" w:sz="8" w:themeColor="accent2" w:val="single"/>
          <w:bottom w:color="c0504d" w:space="0" w:sz="8" w:themeColor="accent2" w:val="single"/>
        </w:tcBorders>
      </w:tcPr>
    </w:tblStylePr>
    <w:tblStylePr w:type="firstCol">
      <w:rPr>
        <w:b w:val="1"/>
        <w:bCs w:val="1"/>
      </w:rPr>
      <w:tblPr/>
    </w:tblStylePr>
    <w:tblStylePr w:type="lastCol">
      <w:rPr>
        <w:b w:val="1"/>
        <w:bCs w:val="1"/>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00003F" w:val="clear"/>
      </w:tcPr>
    </w:tblStylePr>
    <w:tblStylePr w:type="band1Horz">
      <w:tblPr/>
      <w:tcPr>
        <w:shd w:color="auto" w:fill="efd3d2" w:themeFill="accent2" w:themeFillTint="00003F" w:val="clear"/>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9bbb59" w:space="0" w:sz="8" w:themeColor="accent3" w:val="single"/>
        </w:tcBorders>
      </w:tcPr>
    </w:tblStylePr>
    <w:tblStylePr w:type="lastRow">
      <w:rPr>
        <w:b w:val="1"/>
        <w:bCs w:val="1"/>
        <w:color w:val="1f497d" w:themeColor="text2"/>
      </w:rPr>
      <w:tblPr/>
      <w:tcPr>
        <w:tcBorders>
          <w:top w:color="9bbb59" w:space="0" w:sz="8" w:themeColor="accent3" w:val="single"/>
          <w:bottom w:color="9bbb59" w:space="0" w:sz="8" w:themeColor="accent3" w:val="single"/>
        </w:tcBorders>
      </w:tcPr>
    </w:tblStylePr>
    <w:tblStylePr w:type="firstCol">
      <w:rPr>
        <w:b w:val="1"/>
        <w:bCs w:val="1"/>
      </w:rPr>
      <w:tblPr/>
    </w:tblStylePr>
    <w:tblStylePr w:type="lastCol">
      <w:rPr>
        <w:b w:val="1"/>
        <w:bCs w:val="1"/>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00003F" w:val="clear"/>
      </w:tcPr>
    </w:tblStylePr>
    <w:tblStylePr w:type="band1Horz">
      <w:tblPr/>
      <w:tcPr>
        <w:shd w:color="auto" w:fill="e6eed5" w:themeFill="accent3" w:themeFillTint="00003F" w:val="clear"/>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8064a2" w:space="0" w:sz="8" w:themeColor="accent4" w:val="single"/>
        </w:tcBorders>
      </w:tcPr>
    </w:tblStylePr>
    <w:tblStylePr w:type="lastRow">
      <w:rPr>
        <w:b w:val="1"/>
        <w:bCs w:val="1"/>
        <w:color w:val="1f497d" w:themeColor="text2"/>
      </w:rPr>
      <w:tblPr/>
      <w:tcPr>
        <w:tcBorders>
          <w:top w:color="8064a2" w:space="0" w:sz="8" w:themeColor="accent4" w:val="single"/>
          <w:bottom w:color="8064a2" w:space="0" w:sz="8" w:themeColor="accent4" w:val="single"/>
        </w:tcBorders>
      </w:tcPr>
    </w:tblStylePr>
    <w:tblStylePr w:type="firstCol">
      <w:rPr>
        <w:b w:val="1"/>
        <w:bCs w:val="1"/>
      </w:rPr>
      <w:tblPr/>
    </w:tblStylePr>
    <w:tblStylePr w:type="lastCol">
      <w:rPr>
        <w:b w:val="1"/>
        <w:bCs w:val="1"/>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00003F" w:val="clear"/>
      </w:tcPr>
    </w:tblStylePr>
    <w:tblStylePr w:type="band1Horz">
      <w:tblPr/>
      <w:tcPr>
        <w:shd w:color="auto" w:fill="dfd8e8" w:themeFill="accent4" w:themeFillTint="00003F" w:val="clear"/>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f79646" w:space="0" w:sz="8" w:themeColor="accent6" w:val="single"/>
        </w:tcBorders>
      </w:tcPr>
    </w:tblStylePr>
    <w:tblStylePr w:type="lastRow">
      <w:rPr>
        <w:b w:val="1"/>
        <w:bCs w:val="1"/>
        <w:color w:val="1f497d" w:themeColor="text2"/>
      </w:rPr>
      <w:tblPr/>
      <w:tcPr>
        <w:tcBorders>
          <w:top w:color="f79646" w:space="0" w:sz="8" w:themeColor="accent6" w:val="single"/>
          <w:bottom w:color="f79646" w:space="0" w:sz="8" w:themeColor="accent6" w:val="single"/>
        </w:tcBorders>
      </w:tcPr>
    </w:tblStylePr>
    <w:tblStylePr w:type="firstCol">
      <w:rPr>
        <w:b w:val="1"/>
        <w:bCs w:val="1"/>
      </w:rPr>
      <w:tblPr/>
    </w:tblStylePr>
    <w:tblStylePr w:type="lastCol">
      <w:rPr>
        <w:b w:val="1"/>
        <w:bCs w:val="1"/>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00003F" w:val="clear"/>
      </w:tcPr>
    </w:tblStylePr>
    <w:tblStylePr w:type="band1Horz">
      <w:tblPr/>
      <w:tcPr>
        <w:shd w:color="auto" w:fill="fde4d0" w:themeFill="accent6" w:themeFillTint="00003F" w:val="clear"/>
      </w:tcPr>
    </w:tblStylePr>
  </w:style>
  <w:style w:type="table" w:styleId="MediumList2">
    <w:name w:val="Medium Lis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color="000000" w:space="0" w:sz="8"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1">
    <w:name w:val="Medium List 2 Accent 1"/>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f81bd" w:space="0" w:sz="24" w:themeColor="accent1" w:val="single"/>
          <w:right w:space="0" w:sz="0" w:val="nil"/>
          <w:insideH w:space="0" w:sz="0" w:val="nil"/>
          <w:insideV w:space="0" w:sz="0" w:val="nil"/>
        </w:tcBorders>
        <w:shd w:color="auto" w:fill="ffffff" w:themeFill="background1" w:val="clear"/>
      </w:tcPr>
    </w:tblStylePr>
    <w:tblStylePr w:type="lastRow">
      <w:tblPr/>
      <w:tcPr>
        <w:tcBorders>
          <w:top w:color="4f81bd" w:space="0" w:sz="8" w:themeColor="accen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f81bd"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4f81bd"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top w:space="0" w:sz="0" w:val="nil"/>
          <w:bottom w:space="0" w:sz="0" w:val="nil"/>
          <w:insideH w:space="0" w:sz="0" w:val="nil"/>
          <w:insideV w:space="0" w:sz="0" w:val="nil"/>
        </w:tcBorders>
        <w:shd w:color="auto" w:fill="d3dfee"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2">
    <w:name w:val="Medium List 2 Accen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tblPr/>
      <w:tcPr>
        <w:tcBorders>
          <w:top w:color="c0504d" w:space="0" w:sz="8" w:themeColor="accent2"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0504d"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0504d"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top w:space="0" w:sz="0" w:val="nil"/>
          <w:bottom w:space="0" w:sz="0" w:val="nil"/>
          <w:insideH w:space="0" w:sz="0" w:val="nil"/>
          <w:insideV w:space="0" w:sz="0" w:val="nil"/>
        </w:tcBorders>
        <w:shd w:color="auto" w:fill="efd3d2"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3">
    <w:name w:val="Medium List 2 Accent 3"/>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tblPr/>
      <w:tcPr>
        <w:tcBorders>
          <w:top w:color="9bbb59" w:space="0" w:sz="8" w:themeColor="accent3"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9bbb59"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9bbb59"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top w:space="0" w:sz="0" w:val="nil"/>
          <w:bottom w:space="0" w:sz="0" w:val="nil"/>
          <w:insideH w:space="0" w:sz="0" w:val="nil"/>
          <w:insideV w:space="0" w:sz="0" w:val="nil"/>
        </w:tcBorders>
        <w:shd w:color="auto" w:fill="e6eed5"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4">
    <w:name w:val="Medium List 2 Accent 4"/>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tblPr/>
      <w:tcPr>
        <w:tcBorders>
          <w:top w:color="8064a2" w:space="0" w:sz="8" w:themeColor="accent4"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064a2"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8064a2"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top w:space="0" w:sz="0" w:val="nil"/>
          <w:bottom w:space="0" w:sz="0" w:val="nil"/>
          <w:insideH w:space="0" w:sz="0" w:val="nil"/>
          <w:insideV w:space="0" w:sz="0" w:val="nil"/>
        </w:tcBorders>
        <w:shd w:color="auto" w:fill="dfd8e8"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5">
    <w:name w:val="Medium List 2 Accent 5"/>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tblPr/>
      <w:tcPr>
        <w:tcBorders>
          <w:top w:color="4bacc6" w:space="0" w:sz="8" w:themeColor="accent5"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bacc6"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4bacc6"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top w:space="0" w:sz="0" w:val="nil"/>
          <w:bottom w:space="0" w:sz="0" w:val="nil"/>
          <w:insideH w:space="0" w:sz="0" w:val="nil"/>
          <w:insideV w:space="0" w:sz="0" w:val="nil"/>
        </w:tcBorders>
        <w:shd w:color="auto" w:fill="d2eaf1"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6">
    <w:name w:val="Medium List 2 Accent 6"/>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tblPr/>
      <w:tcPr>
        <w:tcBorders>
          <w:top w:color="f79646" w:space="0" w:sz="8" w:themeColor="accent6"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79646"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f79646"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top w:space="0" w:sz="0" w:val="nil"/>
          <w:bottom w:space="0" w:sz="0" w:val="nil"/>
          <w:insideH w:space="0" w:sz="0" w:val="nil"/>
          <w:insideV w:space="0" w:sz="0" w:val="nil"/>
        </w:tcBorders>
        <w:shd w:color="auto" w:fill="fde4d0"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rPr>
      <w:tblPr/>
    </w:tblStylePr>
    <w:tblStylePr w:type="lastRow">
      <w:rPr>
        <w:b w:val="1"/>
        <w:bCs w:val="1"/>
      </w:rPr>
      <w:tblPr/>
      <w:tcPr>
        <w:tcBorders>
          <w:top w:color="404040" w:space="0" w:sz="18" w:themeColor="text1" w:val="single"/>
        </w:tcBorders>
      </w:tcPr>
    </w:tblStylePr>
    <w:tblStylePr w:type="firstCol">
      <w:rPr>
        <w:b w:val="1"/>
        <w:bCs w:val="1"/>
      </w:rPr>
      <w:tblPr/>
    </w:tblStylePr>
    <w:tblStylePr w:type="lastCol">
      <w:rPr>
        <w:b w:val="1"/>
        <w:bCs w:val="1"/>
      </w:rPr>
      <w:tbl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insideV w:color="7ba0cd" w:space="0" w:sz="8" w:themeColor="accent1" w:themeTint="0000BF"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rPr>
      <w:tblPr/>
    </w:tblStylePr>
    <w:tblStylePr w:type="lastRow">
      <w:rPr>
        <w:b w:val="1"/>
        <w:bCs w:val="1"/>
      </w:rPr>
      <w:tblPr/>
      <w:tcPr>
        <w:tcBorders>
          <w:top w:color="7ba0cd" w:space="0" w:sz="18" w:themeColor="accent1" w:val="single"/>
        </w:tcBorders>
      </w:tcPr>
    </w:tblStylePr>
    <w:tblStylePr w:type="firstCol">
      <w:rPr>
        <w:b w:val="1"/>
        <w:bCs w:val="1"/>
      </w:rPr>
      <w:tblPr/>
    </w:tblStylePr>
    <w:tblStylePr w:type="lastCol">
      <w:rPr>
        <w:b w:val="1"/>
        <w:bCs w:val="1"/>
      </w:rPr>
      <w:tbl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insideV w:color="cf7b79" w:space="0" w:sz="8" w:themeColor="accent2" w:themeTint="0000BF"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rPr>
      <w:tblPr/>
    </w:tblStylePr>
    <w:tblStylePr w:type="lastRow">
      <w:rPr>
        <w:b w:val="1"/>
        <w:bCs w:val="1"/>
      </w:rPr>
      <w:tblPr/>
      <w:tcPr>
        <w:tcBorders>
          <w:top w:color="cf7b79" w:space="0" w:sz="18" w:themeColor="accent2" w:val="single"/>
        </w:tcBorders>
      </w:tcPr>
    </w:tblStylePr>
    <w:tblStylePr w:type="firstCol">
      <w:rPr>
        <w:b w:val="1"/>
        <w:bCs w:val="1"/>
      </w:rPr>
      <w:tblPr/>
    </w:tblStylePr>
    <w:tblStylePr w:type="lastCol">
      <w:rPr>
        <w:b w:val="1"/>
        <w:bCs w:val="1"/>
      </w:rPr>
      <w:tbl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insideV w:color="b3cc82" w:space="0" w:sz="8" w:themeColor="accent3" w:themeTint="0000BF"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rPr>
      <w:tblPr/>
    </w:tblStylePr>
    <w:tblStylePr w:type="lastRow">
      <w:rPr>
        <w:b w:val="1"/>
        <w:bCs w:val="1"/>
      </w:rPr>
      <w:tblPr/>
      <w:tcPr>
        <w:tcBorders>
          <w:top w:color="b3cc82" w:space="0" w:sz="18" w:themeColor="accent3" w:val="single"/>
        </w:tcBorders>
      </w:tcPr>
    </w:tblStylePr>
    <w:tblStylePr w:type="firstCol">
      <w:rPr>
        <w:b w:val="1"/>
        <w:bCs w:val="1"/>
      </w:rPr>
      <w:tblPr/>
    </w:tblStylePr>
    <w:tblStylePr w:type="lastCol">
      <w:rPr>
        <w:b w:val="1"/>
        <w:bCs w:val="1"/>
      </w:rPr>
      <w:tbl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rPr>
      <w:tblPr/>
    </w:tblStylePr>
    <w:tblStylePr w:type="lastRow">
      <w:rPr>
        <w:b w:val="1"/>
        <w:bCs w:val="1"/>
      </w:rPr>
      <w:tblPr/>
      <w:tcPr>
        <w:tcBorders>
          <w:top w:color="9f8ab9" w:space="0" w:sz="18" w:themeColor="accent4" w:val="single"/>
        </w:tcBorders>
      </w:tcPr>
    </w:tblStylePr>
    <w:tblStylePr w:type="firstCol">
      <w:rPr>
        <w:b w:val="1"/>
        <w:bCs w:val="1"/>
      </w:rPr>
      <w:tblPr/>
    </w:tblStylePr>
    <w:tblStylePr w:type="lastCol">
      <w:rPr>
        <w:b w:val="1"/>
        <w:bCs w:val="1"/>
      </w:rPr>
      <w:tbl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rPr>
      <w:tblPr/>
    </w:tblStylePr>
    <w:tblStylePr w:type="lastRow">
      <w:rPr>
        <w:b w:val="1"/>
        <w:bCs w:val="1"/>
      </w:rPr>
      <w:tblPr/>
      <w:tcPr>
        <w:tcBorders>
          <w:top w:color="78c0d4" w:space="0" w:sz="18" w:themeColor="accent5" w:val="single"/>
        </w:tcBorders>
      </w:tcPr>
    </w:tblStylePr>
    <w:tblStylePr w:type="firstCol">
      <w:rPr>
        <w:b w:val="1"/>
        <w:bCs w:val="1"/>
      </w:rPr>
      <w:tblPr/>
    </w:tblStylePr>
    <w:tblStylePr w:type="lastCol">
      <w:rPr>
        <w:b w:val="1"/>
        <w:bCs w:val="1"/>
      </w:rPr>
      <w:tbl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insideV w:color="f9b074" w:space="0" w:sz="8" w:themeColor="accent6" w:themeTint="0000BF"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rPr>
      <w:tblPr/>
    </w:tblStylePr>
    <w:tblStylePr w:type="lastRow">
      <w:rPr>
        <w:b w:val="1"/>
        <w:bCs w:val="1"/>
      </w:rPr>
      <w:tblPr/>
      <w:tcPr>
        <w:tcBorders>
          <w:top w:color="f9b074" w:space="0" w:sz="18" w:themeColor="accent6" w:val="single"/>
        </w:tcBorders>
      </w:tcPr>
    </w:tblStylePr>
    <w:tblStylePr w:type="firstCol">
      <w:rPr>
        <w:b w:val="1"/>
        <w:bCs w:val="1"/>
      </w:rPr>
      <w:tblPr/>
    </w:tblStylePr>
    <w:tblStylePr w:type="lastCol">
      <w:rPr>
        <w:b w:val="1"/>
        <w:bCs w:val="1"/>
      </w:rPr>
      <w:tbl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MediumGrid2">
    <w:name w:val="Medium Grid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MediumGrid2-Accent1">
    <w:name w:val="Medium Grid 2 Accent 1"/>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color w:val="000000" w:themeColor="text1"/>
      </w:rPr>
      <w:tblPr/>
      <w:tcPr>
        <w:shd w:color="auto" w:fill="edf2f8"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be5f1" w:themeFill="accent1" w:themeFillTint="000033" w:val="clear"/>
      </w:tcPr>
    </w:tblStylePr>
    <w:tblStylePr w:type="band1Vert">
      <w:tblPr/>
      <w:tcPr>
        <w:shd w:color="auto" w:fill="a7bfde" w:themeFill="accent1" w:themeFillTint="0000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00007F" w:val="clear"/>
      </w:tcPr>
    </w:tblStylePr>
    <w:tblStylePr w:type="nwCell">
      <w:tblPr/>
      <w:tcPr>
        <w:shd w:color="auto" w:fill="ffffff" w:themeFill="background1" w:val="clear"/>
      </w:tcPr>
    </w:tblStylePr>
  </w:style>
  <w:style w:type="table" w:styleId="MediumGrid2-Accent2">
    <w:name w:val="Medium Grid 2 Accent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color w:val="000000" w:themeColor="text1"/>
      </w:rPr>
      <w:tblPr/>
      <w:tcPr>
        <w:shd w:color="auto" w:fill="f8eded"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2dbdb" w:themeFill="accent2" w:themeFillTint="000033" w:val="clear"/>
      </w:tcPr>
    </w:tblStylePr>
    <w:tblStylePr w:type="band1Vert">
      <w:tblPr/>
      <w:tcPr>
        <w:shd w:color="auto" w:fill="dfa7a6" w:themeFill="accent2" w:themeFillTint="0000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00007F" w:val="clear"/>
      </w:tcPr>
    </w:tblStylePr>
    <w:tblStylePr w:type="nwCell">
      <w:tblPr/>
      <w:tcPr>
        <w:shd w:color="auto" w:fill="ffffff" w:themeFill="background1" w:val="clear"/>
      </w:tcPr>
    </w:tblStylePr>
  </w:style>
  <w:style w:type="table" w:styleId="MediumGrid2-Accent3">
    <w:name w:val="Medium Grid 2 Accent 3"/>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color w:val="000000" w:themeColor="text1"/>
      </w:rPr>
      <w:tblPr/>
      <w:tcPr>
        <w:shd w:color="auto" w:fill="f5f8ee"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af1dd" w:themeFill="accent3" w:themeFillTint="000033" w:val="clear"/>
      </w:tcPr>
    </w:tblStylePr>
    <w:tblStylePr w:type="band1Vert">
      <w:tblPr/>
      <w:tcPr>
        <w:shd w:color="auto" w:fill="cdddac" w:themeFill="accent3" w:themeFillTint="0000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00007F" w:val="clear"/>
      </w:tcPr>
    </w:tblStylePr>
    <w:tblStylePr w:type="nwCell">
      <w:tblPr/>
      <w:tcPr>
        <w:shd w:color="auto" w:fill="ffffff" w:themeFill="background1" w:val="clear"/>
      </w:tcPr>
    </w:tblStylePr>
  </w:style>
  <w:style w:type="table" w:styleId="MediumGrid2-Accent4">
    <w:name w:val="Medium Grid 2 Accent 4"/>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color w:val="000000" w:themeColor="text1"/>
      </w:rPr>
      <w:tblPr/>
      <w:tcPr>
        <w:shd w:color="auto" w:fill="f2eff6"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5dfec" w:themeFill="accent4" w:themeFillTint="000033" w:val="clear"/>
      </w:tcPr>
    </w:tblStylePr>
    <w:tblStylePr w:type="band1Vert">
      <w:tblPr/>
      <w:tcPr>
        <w:shd w:color="auto" w:fill="bfb1d0" w:themeFill="accent4" w:themeFillTint="0000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00007F" w:val="clear"/>
      </w:tcPr>
    </w:tblStylePr>
    <w:tblStylePr w:type="nwCell">
      <w:tblPr/>
      <w:tcPr>
        <w:shd w:color="auto" w:fill="ffffff" w:themeFill="background1" w:val="clear"/>
      </w:tcPr>
    </w:tblStylePr>
  </w:style>
  <w:style w:type="table" w:styleId="MediumGrid2-Accent5">
    <w:name w:val="Medium Grid 2 Accent 5"/>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color w:val="000000" w:themeColor="text1"/>
      </w:rPr>
      <w:tblPr/>
      <w:tcPr>
        <w:shd w:color="auto" w:fill="edf6f9"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aeef3" w:themeFill="accent5" w:themeFillTint="000033" w:val="clear"/>
      </w:tcPr>
    </w:tblStylePr>
    <w:tblStylePr w:type="band1Vert">
      <w:tblPr/>
      <w:tcPr>
        <w:shd w:color="auto" w:fill="a5d5e2" w:themeFill="accent5" w:themeFillTint="0000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00007F" w:val="clear"/>
      </w:tcPr>
    </w:tblStylePr>
    <w:tblStylePr w:type="nwCell">
      <w:tblPr/>
      <w:tcPr>
        <w:shd w:color="auto" w:fill="ffffff" w:themeFill="background1" w:val="clear"/>
      </w:tcPr>
    </w:tblStylePr>
  </w:style>
  <w:style w:type="table" w:styleId="MediumGrid2-Accent6">
    <w:name w:val="Medium Grid 2 Accent 6"/>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color w:val="000000" w:themeColor="text1"/>
      </w:rPr>
      <w:tblPr/>
      <w:tcPr>
        <w:shd w:color="auto" w:fill="fef4ec"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de9d9" w:themeFill="accent6" w:themeFillTint="000033" w:val="clear"/>
      </w:tcPr>
    </w:tblStylePr>
    <w:tblStylePr w:type="band1Vert">
      <w:tblPr/>
      <w:tcPr>
        <w:shd w:color="auto" w:fill="fbcaa2" w:themeFill="accent6" w:themeFillTint="0000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00007F" w:val="clear"/>
      </w:tcPr>
    </w:tblStylePr>
    <w:tblStylePr w:type="nwCell">
      <w:tblPr/>
      <w:tcPr>
        <w:shd w:color="auto" w:fill="ffffff" w:themeFill="background1" w:val="clear"/>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i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i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i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lastRow">
      <w:rPr>
        <w:b w:val="1"/>
        <w:bCs w:val="1"/>
        <w:i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firstCol">
      <w:rPr>
        <w:b w:val="1"/>
        <w:bCs w:val="1"/>
        <w:i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0504d" w:themeFill="accent2" w:val="clear"/>
      </w:tcPr>
    </w:tblStylePr>
    <w:tblStylePr w:type="lastCol">
      <w:rPr>
        <w:b w:val="1"/>
        <w:bCs w:val="1"/>
        <w:i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fa7a6"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00007F" w:val="clear"/>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i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lastRow">
      <w:rPr>
        <w:b w:val="1"/>
        <w:bCs w:val="1"/>
        <w:i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firstCol">
      <w:rPr>
        <w:b w:val="1"/>
        <w:bCs w:val="1"/>
        <w:i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9bbb59" w:themeFill="accent3" w:val="clear"/>
      </w:tcPr>
    </w:tblStylePr>
    <w:tblStylePr w:type="lastCol">
      <w:rPr>
        <w:b w:val="1"/>
        <w:bCs w:val="1"/>
        <w:i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dddac"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00007F" w:val="clear"/>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i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lastRow">
      <w:rPr>
        <w:b w:val="1"/>
        <w:bCs w:val="1"/>
        <w:i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firstCol">
      <w:rPr>
        <w:b w:val="1"/>
        <w:bCs w:val="1"/>
        <w:i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064a2" w:themeFill="accent4" w:val="clear"/>
      </w:tcPr>
    </w:tblStylePr>
    <w:tblStylePr w:type="lastCol">
      <w:rPr>
        <w:b w:val="1"/>
        <w:bCs w:val="1"/>
        <w:i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fb1d0"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00007F" w:val="clear"/>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i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i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lastRow">
      <w:rPr>
        <w:b w:val="1"/>
        <w:bCs w:val="1"/>
        <w:i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firstCol">
      <w:rPr>
        <w:b w:val="1"/>
        <w:bCs w:val="1"/>
        <w:i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79646" w:themeFill="accent6" w:val="clear"/>
      </w:tcPr>
    </w:tblStylePr>
    <w:tblStylePr w:type="lastCol">
      <w:rPr>
        <w:b w:val="1"/>
        <w:bCs w:val="1"/>
        <w:i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bcaa2"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00007F" w:val="clear"/>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CellMar>
        <w:top w:w="0.0" w:type="dxa"/>
        <w:left w:w="108.0" w:type="dxa"/>
        <w:bottom w:w="0.0" w:type="dxa"/>
        <w:right w:w="108.0" w:type="dxa"/>
      </w:tblCellMar>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CellMar>
        <w:top w:w="0.0" w:type="dxa"/>
        <w:left w:w="108.0" w:type="dxa"/>
        <w:bottom w:w="0.0" w:type="dxa"/>
        <w:right w:w="108.0" w:type="dxa"/>
      </w:tblCellMar>
    </w:tblPr>
    <w:tcPr>
      <w:shd w:color="auto" w:fill="4f81bd"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43f60"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65f91"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65f91"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CellMar>
        <w:top w:w="0.0" w:type="dxa"/>
        <w:left w:w="108.0" w:type="dxa"/>
        <w:bottom w:w="0.0" w:type="dxa"/>
        <w:right w:w="108.0" w:type="dxa"/>
      </w:tblCellMar>
    </w:tblPr>
    <w:tcPr>
      <w:shd w:color="auto" w:fill="c0504d"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22423"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4363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4363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CellMar>
        <w:top w:w="0.0" w:type="dxa"/>
        <w:left w:w="108.0" w:type="dxa"/>
        <w:bottom w:w="0.0" w:type="dxa"/>
        <w:right w:w="108.0" w:type="dxa"/>
      </w:tblCellMar>
    </w:tblPr>
    <w:tcPr>
      <w:shd w:color="auto" w:fill="9bbb59"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4e6128"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6923c"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6923c"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CellMar>
        <w:top w:w="0.0" w:type="dxa"/>
        <w:left w:w="108.0" w:type="dxa"/>
        <w:bottom w:w="0.0" w:type="dxa"/>
        <w:right w:w="108.0" w:type="dxa"/>
      </w:tblCellMar>
    </w:tblPr>
    <w:tcPr>
      <w:shd w:color="auto" w:fill="8064a2"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f3151"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f497a"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f497a"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CellMar>
        <w:top w:w="0.0" w:type="dxa"/>
        <w:left w:w="108.0" w:type="dxa"/>
        <w:bottom w:w="0.0" w:type="dxa"/>
        <w:right w:w="108.0" w:type="dxa"/>
      </w:tblCellMar>
    </w:tblPr>
    <w:tcPr>
      <w:shd w:color="auto" w:fill="4bacc6"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05867"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1849b"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1849b"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CellMar>
        <w:top w:w="0.0" w:type="dxa"/>
        <w:left w:w="108.0" w:type="dxa"/>
        <w:bottom w:w="0.0" w:type="dxa"/>
        <w:right w:w="108.0" w:type="dxa"/>
      </w:tblCellMar>
    </w:tblPr>
    <w:tcPr>
      <w:shd w:color="auto" w:fill="f79646"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74706"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36c0a"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36c0a"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6e6e6" w:themeFill="tex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Pr/>
    </w:tblStylePr>
    <w:tblStylePr w:type="nwCell">
      <w:rPr>
        <w:color w:val="000000" w:themeColor="text1"/>
      </w:rPr>
      <w:tbl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Pr/>
    </w:tblStylePr>
    <w:tblStylePr w:type="nwCell">
      <w:rPr>
        <w:color w:val="000000" w:themeColor="text1"/>
      </w:rPr>
      <w:tbl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8eded" w:themeFill="accent2"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2c2a"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2c2a" w:space="0" w:sz="4" w:themeColor="accent2" w:val="single"/>
          <w:insideV w:space="0" w:sz="0" w:val="nil"/>
        </w:tcBorders>
        <w:shd w:color="auto" w:fill="772c2a"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2c2a" w:themeFill="accent2" w:themeFillShade="000099" w:val="clear"/>
      </w:tcPr>
    </w:tblStylePr>
    <w:tblStylePr w:type="band1Vert">
      <w:tblPr/>
      <w:tcPr>
        <w:shd w:color="auto" w:fill="e5b8b7" w:themeFill="accent2" w:themeFillTint="000066" w:val="clear"/>
      </w:tcPr>
    </w:tblStylePr>
    <w:tblStylePr w:type="band1Horz">
      <w:tblPr/>
      <w:tcPr>
        <w:shd w:color="auto" w:fill="dfa7a6" w:themeFill="accent2" w:themeFillTint="00007F" w:val="clear"/>
      </w:tcPr>
    </w:tblStylePr>
    <w:tblStylePr w:type="neCell">
      <w:rPr>
        <w:color w:val="000000" w:themeColor="text1"/>
      </w:rPr>
      <w:tblPr/>
    </w:tblStylePr>
    <w:tblStylePr w:type="nwCell">
      <w:rPr>
        <w:color w:val="000000" w:themeColor="text1"/>
      </w:rPr>
      <w:tbl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5f8ee" w:themeFill="accent3" w:themeFillTint="000019" w:val="clear"/>
    </w:tcPr>
    <w:tblStylePr w:type="firstRow">
      <w:rPr>
        <w:b w:val="1"/>
        <w:bCs w:val="1"/>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5e7530"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5e7530" w:space="0" w:sz="4" w:themeColor="accent3" w:val="single"/>
          <w:insideV w:space="0" w:sz="0" w:val="nil"/>
        </w:tcBorders>
        <w:shd w:color="auto" w:fill="5e7530"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5e7530" w:themeFill="accent3" w:themeFillShade="000099" w:val="clear"/>
      </w:tcPr>
    </w:tblStylePr>
    <w:tblStylePr w:type="band1Vert">
      <w:tblPr/>
      <w:tcPr>
        <w:shd w:color="auto" w:fill="d6e3bc" w:themeFill="accent3" w:themeFillTint="000066" w:val="clear"/>
      </w:tcPr>
    </w:tblStylePr>
    <w:tblStylePr w:type="band1Horz">
      <w:tblPr/>
      <w:tcPr>
        <w:shd w:color="auto" w:fill="cdddac" w:themeFill="accent3" w:themeFillTint="00007F" w:val="clear"/>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2eff6" w:themeFill="accent4" w:themeFillTint="000019" w:val="clear"/>
    </w:tcPr>
    <w:tblStylePr w:type="firstRow">
      <w:rPr>
        <w:b w:val="1"/>
        <w:bCs w:val="1"/>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c3b62"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4c3b62" w:space="0" w:sz="4" w:themeColor="accent4" w:val="single"/>
          <w:insideV w:space="0" w:sz="0" w:val="nil"/>
        </w:tcBorders>
        <w:shd w:color="auto" w:fill="4c3b62"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c3b62" w:themeFill="accent4" w:themeFillShade="000099" w:val="clear"/>
      </w:tcPr>
    </w:tblStylePr>
    <w:tblStylePr w:type="band1Vert">
      <w:tblPr/>
      <w:tcPr>
        <w:shd w:color="auto" w:fill="ccc0d9" w:themeFill="accent4" w:themeFillTint="000066" w:val="clear"/>
      </w:tcPr>
    </w:tblStylePr>
    <w:tblStylePr w:type="band1Horz">
      <w:tblPr/>
      <w:tcPr>
        <w:shd w:color="auto" w:fill="bfb1d0" w:themeFill="accent4" w:themeFillTint="00007F" w:val="clear"/>
      </w:tcPr>
    </w:tblStylePr>
    <w:tblStylePr w:type="neCell">
      <w:rPr>
        <w:color w:val="000000" w:themeColor="text1"/>
      </w:rPr>
      <w:tblPr/>
    </w:tblStylePr>
    <w:tblStylePr w:type="nwCell">
      <w:rPr>
        <w:color w:val="000000" w:themeColor="text1"/>
      </w:rPr>
      <w:tbl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Pr/>
    </w:tblStylePr>
    <w:tblStylePr w:type="nwCell">
      <w:rPr>
        <w:color w:val="000000" w:themeColor="text1"/>
      </w:rPr>
      <w:tbl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ef4ec" w:themeFill="accent6" w:themeFillTint="000019" w:val="clear"/>
    </w:tcPr>
    <w:tblStylePr w:type="firstRow">
      <w:rPr>
        <w:b w:val="1"/>
        <w:bCs w:val="1"/>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65608"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b65608" w:space="0" w:sz="4" w:themeColor="accent6" w:val="single"/>
          <w:insideV w:space="0" w:sz="0" w:val="nil"/>
        </w:tcBorders>
        <w:shd w:color="auto" w:fill="b65608"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65608" w:themeFill="accent6" w:themeFillShade="000099" w:val="clear"/>
      </w:tcPr>
    </w:tblStylePr>
    <w:tblStylePr w:type="band1Vert">
      <w:tblPr/>
      <w:tcPr>
        <w:shd w:color="auto" w:fill="fbd4b4" w:themeFill="accent6" w:themeFillTint="000066" w:val="clear"/>
      </w:tcPr>
    </w:tblStylePr>
    <w:tblStylePr w:type="band1Horz">
      <w:tblPr/>
      <w:tcPr>
        <w:shd w:color="auto" w:fill="fbcaa2" w:themeFill="accent6" w:themeFillTint="00007F" w:val="clear"/>
      </w:tcPr>
    </w:tblStylePr>
    <w:tblStylePr w:type="neCell">
      <w:rPr>
        <w:color w:val="000000" w:themeColor="text1"/>
      </w:rPr>
      <w:tblPr/>
    </w:tblStylePr>
    <w:tblStylePr w:type="nwCell">
      <w:rPr>
        <w:color w:val="000000" w:themeColor="text1"/>
      </w:rPr>
      <w:tbl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CellMar>
        <w:top w:w="0.0" w:type="dxa"/>
        <w:left w:w="108.0" w:type="dxa"/>
        <w:bottom w:w="0.0" w:type="dxa"/>
        <w:right w:w="108.0" w:type="dxa"/>
      </w:tblCellMar>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Pr/>
    </w:tblStylePr>
    <w:tblStylePr w:type="lastCol">
      <w:rPr>
        <w:b w:val="1"/>
        <w:bCs w:val="1"/>
      </w:rPr>
      <w:tbl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CellMar>
        <w:top w:w="0.0" w:type="dxa"/>
        <w:left w:w="108.0" w:type="dxa"/>
        <w:bottom w:w="0.0" w:type="dxa"/>
        <w:right w:w="108.0" w:type="dxa"/>
      </w:tblCellMar>
    </w:tblPr>
    <w:tcPr>
      <w:shd w:color="auto" w:fill="edf2f8"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Pr/>
    </w:tblStylePr>
    <w:tblStylePr w:type="lastCol">
      <w:rPr>
        <w:b w:val="1"/>
        <w:bCs w:val="1"/>
      </w:rPr>
      <w:tblPr/>
    </w:tblStylePr>
    <w:tblStylePr w:type="band1Vert">
      <w:tblPr/>
      <w:tcPr>
        <w:tcBorders>
          <w:top w:space="0" w:sz="0" w:val="nil"/>
          <w:left w:space="0" w:sz="0" w:val="nil"/>
          <w:bottom w:space="0" w:sz="0" w:val="nil"/>
          <w:right w:space="0" w:sz="0" w:val="nil"/>
          <w:insideH w:space="0" w:sz="0" w:val="nil"/>
          <w:insideV w:space="0" w:sz="0" w:val="nil"/>
        </w:tcBorders>
        <w:shd w:color="auto" w:fill="d3dfee" w:themeFill="accent1" w:themeFillTint="00003F" w:val="clear"/>
      </w:tcPr>
    </w:tblStylePr>
    <w:tblStylePr w:type="band1Horz">
      <w:tblPr/>
      <w:tcPr>
        <w:shd w:color="auto" w:fill="dbe5f1" w:themeFill="accent1" w:themeFillTint="000033" w:val="clear"/>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CellMar>
        <w:top w:w="0.0" w:type="dxa"/>
        <w:left w:w="108.0" w:type="dxa"/>
        <w:bottom w:w="0.0" w:type="dxa"/>
        <w:right w:w="108.0" w:type="dxa"/>
      </w:tblCellMar>
    </w:tblPr>
    <w:tcPr>
      <w:shd w:color="auto" w:fill="f8eded"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Pr/>
    </w:tblStylePr>
    <w:tblStylePr w:type="lastCol">
      <w:rPr>
        <w:b w:val="1"/>
        <w:bCs w:val="1"/>
      </w:rPr>
      <w:tblPr/>
    </w:tblStylePr>
    <w:tblStylePr w:type="band1Vert">
      <w:tblPr/>
      <w:tcPr>
        <w:tcBorders>
          <w:top w:space="0" w:sz="0" w:val="nil"/>
          <w:left w:space="0" w:sz="0" w:val="nil"/>
          <w:bottom w:space="0" w:sz="0" w:val="nil"/>
          <w:right w:space="0" w:sz="0" w:val="nil"/>
          <w:insideH w:space="0" w:sz="0" w:val="nil"/>
          <w:insideV w:space="0" w:sz="0" w:val="nil"/>
        </w:tcBorders>
        <w:shd w:color="auto" w:fill="efd3d2" w:themeFill="accent2" w:themeFillTint="00003F" w:val="clear"/>
      </w:tcPr>
    </w:tblStylePr>
    <w:tblStylePr w:type="band1Horz">
      <w:tblPr/>
      <w:tcPr>
        <w:shd w:color="auto" w:fill="f2dbdb" w:themeFill="accent2" w:themeFillTint="000033" w:val="clear"/>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CellMar>
        <w:top w:w="0.0" w:type="dxa"/>
        <w:left w:w="108.0" w:type="dxa"/>
        <w:bottom w:w="0.0" w:type="dxa"/>
        <w:right w:w="108.0" w:type="dxa"/>
      </w:tblCellMar>
    </w:tblPr>
    <w:tcPr>
      <w:shd w:color="auto" w:fill="f5f8ee" w:themeFill="accent3" w:themeFillTint="000019" w:val="clear"/>
    </w:tcPr>
    <w:tblStylePr w:type="firstRow">
      <w:rPr>
        <w:b w:val="1"/>
        <w:bCs w:val="1"/>
        <w:color w:val="ffffff" w:themeColor="background1"/>
      </w:rPr>
      <w:tblPr/>
      <w:tcPr>
        <w:tcBorders>
          <w:bottom w:color="ffffff" w:space="0" w:sz="12" w:themeColor="background1" w:val="single"/>
        </w:tcBorders>
        <w:shd w:color="auto" w:fill="664e82" w:themeFill="accent4" w:themeFillShade="0000CC" w:val="clear"/>
      </w:tcPr>
    </w:tblStylePr>
    <w:tblStylePr w:type="lastRow">
      <w:rPr>
        <w:b w:val="1"/>
        <w:bCs w:val="1"/>
        <w:color w:val="664e82" w:themeColor="accent4" w:themeShade="0000CC"/>
      </w:rPr>
      <w:tblPr/>
      <w:tcPr>
        <w:tcBorders>
          <w:top w:color="000000" w:space="0" w:sz="12" w:themeColor="text1" w:val="single"/>
        </w:tcBorders>
        <w:shd w:color="auto" w:fill="ffffff" w:themeFill="background1" w:val="clear"/>
      </w:tcPr>
    </w:tblStylePr>
    <w:tblStylePr w:type="firstCol">
      <w:rPr>
        <w:b w:val="1"/>
        <w:bCs w:val="1"/>
      </w:rPr>
      <w:tblPr/>
    </w:tblStylePr>
    <w:tblStylePr w:type="lastCol">
      <w:rPr>
        <w:b w:val="1"/>
        <w:bCs w:val="1"/>
      </w:rPr>
      <w:tblPr/>
    </w:tblStylePr>
    <w:tblStylePr w:type="band1Vert">
      <w:tblPr/>
      <w:tcPr>
        <w:tcBorders>
          <w:top w:space="0" w:sz="0" w:val="nil"/>
          <w:left w:space="0" w:sz="0" w:val="nil"/>
          <w:bottom w:space="0" w:sz="0" w:val="nil"/>
          <w:right w:space="0" w:sz="0" w:val="nil"/>
          <w:insideH w:space="0" w:sz="0" w:val="nil"/>
          <w:insideV w:space="0" w:sz="0" w:val="nil"/>
        </w:tcBorders>
        <w:shd w:color="auto" w:fill="e6eed5" w:themeFill="accent3" w:themeFillTint="00003F" w:val="clear"/>
      </w:tcPr>
    </w:tblStylePr>
    <w:tblStylePr w:type="band1Horz">
      <w:tblPr/>
      <w:tcPr>
        <w:shd w:color="auto" w:fill="eaf1dd" w:themeFill="accent3" w:themeFillTint="000033" w:val="clear"/>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CellMar>
        <w:top w:w="0.0" w:type="dxa"/>
        <w:left w:w="108.0" w:type="dxa"/>
        <w:bottom w:w="0.0" w:type="dxa"/>
        <w:right w:w="108.0" w:type="dxa"/>
      </w:tblCellMar>
    </w:tblPr>
    <w:tcPr>
      <w:shd w:color="auto" w:fill="f2eff6" w:themeFill="accent4" w:themeFillTint="000019" w:val="clear"/>
    </w:tcPr>
    <w:tblStylePr w:type="firstRow">
      <w:rPr>
        <w:b w:val="1"/>
        <w:bCs w:val="1"/>
        <w:color w:val="ffffff" w:themeColor="background1"/>
      </w:rPr>
      <w:tblPr/>
      <w:tcPr>
        <w:tcBorders>
          <w:bottom w:color="ffffff" w:space="0" w:sz="12" w:themeColor="background1" w:val="single"/>
        </w:tcBorders>
        <w:shd w:color="auto" w:fill="7e9c40" w:themeFill="accent3" w:themeFillShade="0000CC" w:val="clear"/>
      </w:tcPr>
    </w:tblStylePr>
    <w:tblStylePr w:type="lastRow">
      <w:rPr>
        <w:b w:val="1"/>
        <w:bCs w:val="1"/>
        <w:color w:val="7e9c40" w:themeColor="accent3" w:themeShade="0000CC"/>
      </w:rPr>
      <w:tblPr/>
      <w:tcPr>
        <w:tcBorders>
          <w:top w:color="000000" w:space="0" w:sz="12" w:themeColor="text1" w:val="single"/>
        </w:tcBorders>
        <w:shd w:color="auto" w:fill="ffffff" w:themeFill="background1" w:val="clear"/>
      </w:tcPr>
    </w:tblStylePr>
    <w:tblStylePr w:type="firstCol">
      <w:rPr>
        <w:b w:val="1"/>
        <w:bCs w:val="1"/>
      </w:rPr>
      <w:tblPr/>
    </w:tblStylePr>
    <w:tblStylePr w:type="lastCol">
      <w:rPr>
        <w:b w:val="1"/>
        <w:bCs w:val="1"/>
      </w:rPr>
      <w:tblPr/>
    </w:tblStylePr>
    <w:tblStylePr w:type="band1Vert">
      <w:tblPr/>
      <w:tcPr>
        <w:tcBorders>
          <w:top w:space="0" w:sz="0" w:val="nil"/>
          <w:left w:space="0" w:sz="0" w:val="nil"/>
          <w:bottom w:space="0" w:sz="0" w:val="nil"/>
          <w:right w:space="0" w:sz="0" w:val="nil"/>
          <w:insideH w:space="0" w:sz="0" w:val="nil"/>
          <w:insideV w:space="0" w:sz="0" w:val="nil"/>
        </w:tcBorders>
        <w:shd w:color="auto" w:fill="dfd8e8" w:themeFill="accent4" w:themeFillTint="00003F" w:val="clear"/>
      </w:tcPr>
    </w:tblStylePr>
    <w:tblStylePr w:type="band1Horz">
      <w:tblPr/>
      <w:tcPr>
        <w:shd w:color="auto" w:fill="e5dfec" w:themeFill="accent4" w:themeFillTint="000033" w:val="clear"/>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CellMar>
        <w:top w:w="0.0" w:type="dxa"/>
        <w:left w:w="108.0" w:type="dxa"/>
        <w:bottom w:w="0.0" w:type="dxa"/>
        <w:right w:w="108.0" w:type="dxa"/>
      </w:tblCellMar>
    </w:tblPr>
    <w:tcPr>
      <w:shd w:color="auto" w:fill="edf6f9" w:themeFill="accent5" w:themeFillTint="000019" w:val="clear"/>
    </w:tcPr>
    <w:tblStylePr w:type="firstRow">
      <w:rPr>
        <w:b w:val="1"/>
        <w:bCs w:val="1"/>
        <w:color w:val="ffffff" w:themeColor="background1"/>
      </w:rPr>
      <w:tblPr/>
      <w:tcPr>
        <w:tcBorders>
          <w:bottom w:color="ffffff" w:space="0" w:sz="12" w:themeColor="background1" w:val="single"/>
        </w:tcBorders>
        <w:shd w:color="auto" w:fill="f2730a" w:themeFill="accent6" w:themeFillShade="0000CC" w:val="clear"/>
      </w:tcPr>
    </w:tblStylePr>
    <w:tblStylePr w:type="lastRow">
      <w:rPr>
        <w:b w:val="1"/>
        <w:bCs w:val="1"/>
        <w:color w:val="f2730a" w:themeColor="accent6" w:themeShade="0000CC"/>
      </w:rPr>
      <w:tblPr/>
      <w:tcPr>
        <w:tcBorders>
          <w:top w:color="000000" w:space="0" w:sz="12" w:themeColor="text1" w:val="single"/>
        </w:tcBorders>
        <w:shd w:color="auto" w:fill="ffffff" w:themeFill="background1" w:val="clear"/>
      </w:tcPr>
    </w:tblStylePr>
    <w:tblStylePr w:type="firstCol">
      <w:rPr>
        <w:b w:val="1"/>
        <w:bCs w:val="1"/>
      </w:rPr>
      <w:tblPr/>
    </w:tblStylePr>
    <w:tblStylePr w:type="lastCol">
      <w:rPr>
        <w:b w:val="1"/>
        <w:bCs w:val="1"/>
      </w:rPr>
      <w:tblPr/>
    </w:tblStylePr>
    <w:tblStylePr w:type="band1Vert">
      <w:tblPr/>
      <w:tcPr>
        <w:tcBorders>
          <w:top w:space="0" w:sz="0" w:val="nil"/>
          <w:left w:space="0" w:sz="0" w:val="nil"/>
          <w:bottom w:space="0" w:sz="0" w:val="nil"/>
          <w:right w:space="0" w:sz="0" w:val="nil"/>
          <w:insideH w:space="0" w:sz="0" w:val="nil"/>
          <w:insideV w:space="0" w:sz="0" w:val="nil"/>
        </w:tcBorders>
        <w:shd w:color="auto" w:fill="d2eaf1" w:themeFill="accent5" w:themeFillTint="00003F" w:val="clear"/>
      </w:tcPr>
    </w:tblStylePr>
    <w:tblStylePr w:type="band1Horz">
      <w:tblPr/>
      <w:tcPr>
        <w:shd w:color="auto" w:fill="daeef3" w:themeFill="accent5" w:themeFillTint="000033" w:val="clear"/>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CellMar>
        <w:top w:w="0.0" w:type="dxa"/>
        <w:left w:w="108.0" w:type="dxa"/>
        <w:bottom w:w="0.0" w:type="dxa"/>
        <w:right w:w="108.0" w:type="dxa"/>
      </w:tblCellMar>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Pr/>
    </w:tblStylePr>
    <w:tblStylePr w:type="lastCol">
      <w:rPr>
        <w:b w:val="1"/>
        <w:bCs w:val="1"/>
      </w:rPr>
      <w:tbl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CellMar>
        <w:top w:w="0.0" w:type="dxa"/>
        <w:left w:w="108.0" w:type="dxa"/>
        <w:bottom w:w="0.0" w:type="dxa"/>
        <w:right w:w="108.0" w:type="dxa"/>
      </w:tblCellMar>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CellMar>
        <w:top w:w="0.0" w:type="dxa"/>
        <w:left w:w="108.0" w:type="dxa"/>
        <w:bottom w:w="0.0" w:type="dxa"/>
        <w:right w:w="108.0" w:type="dxa"/>
      </w:tblCellMar>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CellMar>
        <w:top w:w="0.0" w:type="dxa"/>
        <w:left w:w="108.0" w:type="dxa"/>
        <w:bottom w:w="0.0" w:type="dxa"/>
        <w:right w:w="108.0" w:type="dxa"/>
      </w:tblCellMar>
    </w:tblPr>
    <w:tcPr>
      <w:shd w:color="auto" w:fill="f2dbdb" w:themeFill="accent2" w:themeFillTint="000033" w:val="clear"/>
    </w:tcPr>
    <w:tblStylePr w:type="firstRow">
      <w:rPr>
        <w:b w:val="1"/>
        <w:bCs w:val="1"/>
      </w:rPr>
      <w:tblPr/>
      <w:tcPr>
        <w:shd w:color="auto" w:fill="e5b8b7" w:themeFill="accent2" w:themeFillTint="000066" w:val="clear"/>
      </w:tcPr>
    </w:tblStylePr>
    <w:tblStylePr w:type="lastRow">
      <w:rPr>
        <w:b w:val="1"/>
        <w:bCs w:val="1"/>
        <w:color w:val="000000" w:themeColor="text1"/>
      </w:rPr>
      <w:tblPr/>
      <w:tcPr>
        <w:shd w:color="auto" w:fill="e5b8b7" w:themeFill="accent2" w:themeFillTint="000066" w:val="clear"/>
      </w:tcPr>
    </w:tblStylePr>
    <w:tblStylePr w:type="firstCol">
      <w:rPr>
        <w:color w:val="ffffff" w:themeColor="background1"/>
      </w:rPr>
      <w:tblPr/>
      <w:tcPr>
        <w:shd w:color="auto" w:fill="943634" w:themeFill="accent2" w:themeFillShade="0000BF" w:val="clear"/>
      </w:tcPr>
    </w:tblStylePr>
    <w:tblStylePr w:type="lastCol">
      <w:rPr>
        <w:color w:val="ffffff" w:themeColor="background1"/>
      </w:rPr>
      <w:tblPr/>
      <w:tcPr>
        <w:shd w:color="auto" w:fill="943634" w:themeFill="accent2" w:themeFillShade="0000BF" w:val="clear"/>
      </w:tc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CellMar>
        <w:top w:w="0.0" w:type="dxa"/>
        <w:left w:w="108.0" w:type="dxa"/>
        <w:bottom w:w="0.0" w:type="dxa"/>
        <w:right w:w="108.0" w:type="dxa"/>
      </w:tblCellMar>
    </w:tblPr>
    <w:tcPr>
      <w:shd w:color="auto" w:fill="eaf1dd" w:themeFill="accent3" w:themeFillTint="000033" w:val="clear"/>
    </w:tcPr>
    <w:tblStylePr w:type="firstRow">
      <w:rPr>
        <w:b w:val="1"/>
        <w:bCs w:val="1"/>
      </w:rPr>
      <w:tblPr/>
      <w:tcPr>
        <w:shd w:color="auto" w:fill="d6e3bc" w:themeFill="accent3" w:themeFillTint="000066" w:val="clear"/>
      </w:tcPr>
    </w:tblStylePr>
    <w:tblStylePr w:type="lastRow">
      <w:rPr>
        <w:b w:val="1"/>
        <w:bCs w:val="1"/>
        <w:color w:val="000000" w:themeColor="text1"/>
      </w:rPr>
      <w:tblPr/>
      <w:tcPr>
        <w:shd w:color="auto" w:fill="d6e3bc" w:themeFill="accent3" w:themeFillTint="000066" w:val="clear"/>
      </w:tcPr>
    </w:tblStylePr>
    <w:tblStylePr w:type="firstCol">
      <w:rPr>
        <w:color w:val="ffffff" w:themeColor="background1"/>
      </w:rPr>
      <w:tblPr/>
      <w:tcPr>
        <w:shd w:color="auto" w:fill="76923c" w:themeFill="accent3" w:themeFillShade="0000BF" w:val="clear"/>
      </w:tcPr>
    </w:tblStylePr>
    <w:tblStylePr w:type="lastCol">
      <w:rPr>
        <w:color w:val="ffffff" w:themeColor="background1"/>
      </w:rPr>
      <w:tblPr/>
      <w:tcPr>
        <w:shd w:color="auto" w:fill="76923c" w:themeFill="accent3" w:themeFillShade="0000BF" w:val="clear"/>
      </w:tc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CellMar>
        <w:top w:w="0.0" w:type="dxa"/>
        <w:left w:w="108.0" w:type="dxa"/>
        <w:bottom w:w="0.0" w:type="dxa"/>
        <w:right w:w="108.0" w:type="dxa"/>
      </w:tblCellMar>
    </w:tblPr>
    <w:tcPr>
      <w:shd w:color="auto" w:fill="e5dfec" w:themeFill="accent4" w:themeFillTint="000033" w:val="clear"/>
    </w:tcPr>
    <w:tblStylePr w:type="firstRow">
      <w:rPr>
        <w:b w:val="1"/>
        <w:bCs w:val="1"/>
      </w:rPr>
      <w:tblPr/>
      <w:tcPr>
        <w:shd w:color="auto" w:fill="ccc0d9" w:themeFill="accent4" w:themeFillTint="000066" w:val="clear"/>
      </w:tcPr>
    </w:tblStylePr>
    <w:tblStylePr w:type="lastRow">
      <w:rPr>
        <w:b w:val="1"/>
        <w:bCs w:val="1"/>
        <w:color w:val="000000" w:themeColor="text1"/>
      </w:rPr>
      <w:tblPr/>
      <w:tcPr>
        <w:shd w:color="auto" w:fill="ccc0d9" w:themeFill="accent4" w:themeFillTint="000066" w:val="clear"/>
      </w:tcPr>
    </w:tblStylePr>
    <w:tblStylePr w:type="firstCol">
      <w:rPr>
        <w:color w:val="ffffff" w:themeColor="background1"/>
      </w:rPr>
      <w:tblPr/>
      <w:tcPr>
        <w:shd w:color="auto" w:fill="5f497a" w:themeFill="accent4" w:themeFillShade="0000BF" w:val="clear"/>
      </w:tcPr>
    </w:tblStylePr>
    <w:tblStylePr w:type="lastCol">
      <w:rPr>
        <w:color w:val="ffffff" w:themeColor="background1"/>
      </w:rPr>
      <w:tblPr/>
      <w:tcPr>
        <w:shd w:color="auto" w:fill="5f497a" w:themeFill="accent4" w:themeFillShade="0000BF" w:val="clear"/>
      </w:tc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CellMar>
        <w:top w:w="0.0" w:type="dxa"/>
        <w:left w:w="108.0" w:type="dxa"/>
        <w:bottom w:w="0.0" w:type="dxa"/>
        <w:right w:w="108.0" w:type="dxa"/>
      </w:tblCellMar>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CellMar>
        <w:top w:w="0.0" w:type="dxa"/>
        <w:left w:w="108.0" w:type="dxa"/>
        <w:bottom w:w="0.0" w:type="dxa"/>
        <w:right w:w="108.0" w:type="dxa"/>
      </w:tblCellMar>
    </w:tblPr>
    <w:tcPr>
      <w:shd w:color="auto" w:fill="fde9d9" w:themeFill="accent6" w:themeFillTint="000033" w:val="clear"/>
    </w:tcPr>
    <w:tblStylePr w:type="firstRow">
      <w:rPr>
        <w:b w:val="1"/>
        <w:bCs w:val="1"/>
      </w:rPr>
      <w:tblPr/>
      <w:tcPr>
        <w:shd w:color="auto" w:fill="fbd4b4" w:themeFill="accent6" w:themeFillTint="000066" w:val="clear"/>
      </w:tcPr>
    </w:tblStylePr>
    <w:tblStylePr w:type="lastRow">
      <w:rPr>
        <w:b w:val="1"/>
        <w:bCs w:val="1"/>
        <w:color w:val="000000" w:themeColor="text1"/>
      </w:rPr>
      <w:tblPr/>
      <w:tcPr>
        <w:shd w:color="auto" w:fill="fbd4b4" w:themeFill="accent6" w:themeFillTint="000066" w:val="clear"/>
      </w:tcPr>
    </w:tblStylePr>
    <w:tblStylePr w:type="firstCol">
      <w:rPr>
        <w:color w:val="ffffff" w:themeColor="background1"/>
      </w:rPr>
      <w:tblPr/>
      <w:tcPr>
        <w:shd w:color="auto" w:fill="e36c0a" w:themeFill="accent6" w:themeFillShade="0000BF" w:val="clear"/>
      </w:tcPr>
    </w:tblStylePr>
    <w:tblStylePr w:type="lastCol">
      <w:rPr>
        <w:color w:val="ffffff" w:themeColor="background1"/>
      </w:rPr>
      <w:tblPr/>
      <w:tcPr>
        <w:shd w:color="auto" w:fill="e36c0a" w:themeFill="accent6" w:themeFillShade="0000BF" w:val="clear"/>
      </w:tc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paragraph" w:styleId="Subtitle">
    <w:name w:val="Subtitle"/>
    <w:basedOn w:val="Normal"/>
    <w:next w:val="Normal"/>
    <w:pPr/>
    <w:rPr>
      <w:rFonts w:ascii="Calibri" w:cs="Calibri" w:eastAsia="Calibri" w:hAnsi="Calibri"/>
      <w:i w:val="1"/>
      <w:iCs w:val="1"/>
      <w:color w:val="4f81bd"/>
      <w:sz w:val="24"/>
      <w:szCs w:val="24"/>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footer" Target="footer3.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name@aatoronto.org" TargetMode="External"/><Relationship Id="rId8" Type="http://schemas.openxmlformats.org/officeDocument/2006/relationships/hyperlink" Target="mailto:cc.chair@aatoronto.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xDxEvbmeoWnwDB+3KehHfJxitQ==">CgMxLjA4AHIhMXpoTjd3WWhxVWFpS0lXSWV1YlpiX282MHYza3I4X0RC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cp:coreProperties>
</file>

<file path=docProps/custom.xml><?xml version="1.0" encoding="utf-8"?>
<Properties xmlns="http://schemas.openxmlformats.org/officeDocument/2006/custom-properties" xmlns:vt="http://schemas.openxmlformats.org/officeDocument/2006/docPropsVTypes"/>
</file>